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08609" w14:textId="77777777" w:rsidR="008F727D" w:rsidRDefault="008F727D">
      <w:pPr>
        <w:spacing w:line="312" w:lineRule="auto"/>
        <w:jc w:val="both"/>
        <w:rPr>
          <w:rFonts w:ascii="Book Antiqua" w:hAnsi="Book Antiqua" w:cs="Arial"/>
          <w:sz w:val="24"/>
          <w:szCs w:val="24"/>
        </w:rPr>
      </w:pPr>
      <w:bookmarkStart w:id="0" w:name="_GoBack"/>
      <w:bookmarkEnd w:id="0"/>
    </w:p>
    <w:p w14:paraId="7FC2F363" w14:textId="77777777" w:rsidR="008F727D" w:rsidRDefault="00B71142">
      <w:pPr>
        <w:spacing w:line="312" w:lineRule="auto"/>
        <w:jc w:val="center"/>
        <w:rPr>
          <w:rFonts w:ascii="Book Antiqua" w:hAnsi="Book Antiqua" w:cs="Arial"/>
          <w:b/>
          <w:sz w:val="36"/>
          <w:szCs w:val="36"/>
          <w:u w:val="single"/>
        </w:rPr>
      </w:pPr>
      <w:r>
        <w:rPr>
          <w:rFonts w:ascii="Book Antiqua" w:hAnsi="Book Antiqua" w:cs="Arial"/>
          <w:b/>
          <w:sz w:val="36"/>
          <w:szCs w:val="36"/>
          <w:u w:val="single"/>
        </w:rPr>
        <w:t xml:space="preserve">NOTA INTEGRATIVA </w:t>
      </w:r>
    </w:p>
    <w:p w14:paraId="75002149" w14:textId="23955EA4" w:rsidR="008F727D" w:rsidRDefault="00B71142">
      <w:pPr>
        <w:spacing w:line="312" w:lineRule="auto"/>
        <w:jc w:val="center"/>
        <w:rPr>
          <w:rFonts w:ascii="Book Antiqua" w:hAnsi="Book Antiqua" w:cs="Arial"/>
          <w:sz w:val="36"/>
          <w:szCs w:val="36"/>
          <w:u w:val="single"/>
        </w:rPr>
      </w:pPr>
      <w:r>
        <w:rPr>
          <w:rFonts w:ascii="Book Antiqua" w:hAnsi="Book Antiqua" w:cs="Arial"/>
          <w:b/>
          <w:sz w:val="36"/>
          <w:szCs w:val="36"/>
          <w:u w:val="single"/>
        </w:rPr>
        <w:t>STATO PATRIMONIALE E CONTO ECONOMICO 2022</w:t>
      </w:r>
    </w:p>
    <w:p w14:paraId="2109E555" w14:textId="77777777" w:rsidR="008F727D" w:rsidRDefault="008F727D">
      <w:pPr>
        <w:spacing w:line="312" w:lineRule="auto"/>
        <w:jc w:val="center"/>
        <w:rPr>
          <w:rFonts w:ascii="Book Antiqua" w:hAnsi="Book Antiqua" w:cs="Arial"/>
          <w:sz w:val="32"/>
          <w:szCs w:val="32"/>
          <w:u w:val="single"/>
        </w:rPr>
      </w:pPr>
    </w:p>
    <w:p w14:paraId="13AFB271"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 xml:space="preserve">Il nuovo sistema contabile che viene introdotto sulla base del D. Lgs. n.118/2011 e che ha armonizzato i sistemi contabili </w:t>
      </w:r>
      <w:r>
        <w:rPr>
          <w:rFonts w:ascii="Book Antiqua" w:hAnsi="Book Antiqua" w:cs="Arial"/>
          <w:sz w:val="22"/>
          <w:szCs w:val="22"/>
        </w:rPr>
        <w:t>e gli schemi di bilancio degli Enti Locali e delle Regioni comporta l’adozione di nuovi modelli di Conto Economico e di Stato Patrimoniale, non prevedendo più il Prospetto di Conciliazione. Le voci dei nuovi modelli sono in diversi casi differenti da quell</w:t>
      </w:r>
      <w:r>
        <w:rPr>
          <w:rFonts w:ascii="Book Antiqua" w:hAnsi="Book Antiqua" w:cs="Arial"/>
          <w:sz w:val="22"/>
          <w:szCs w:val="22"/>
        </w:rPr>
        <w:t>i dei vecchi modelli previsti dal DPR 194/96.</w:t>
      </w:r>
    </w:p>
    <w:p w14:paraId="565D543E" w14:textId="0D7D4931"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 xml:space="preserve">Proseguendo con i nuovi schemi, </w:t>
      </w:r>
      <w:r w:rsidR="002B432A">
        <w:rPr>
          <w:rFonts w:ascii="Book Antiqua" w:hAnsi="Book Antiqua" w:cs="Arial"/>
          <w:sz w:val="22"/>
          <w:szCs w:val="22"/>
        </w:rPr>
        <w:t xml:space="preserve">adottati a partire dal Rendiconto 2016, </w:t>
      </w:r>
      <w:r>
        <w:rPr>
          <w:rFonts w:ascii="Book Antiqua" w:hAnsi="Book Antiqua" w:cs="Arial"/>
          <w:sz w:val="22"/>
          <w:szCs w:val="22"/>
        </w:rPr>
        <w:t>nel presente allegato sono riportate, con i modelli aggiornati, le consistenze finali dell’esercizio precedente 2021 e quelle dell’eserciz</w:t>
      </w:r>
      <w:r>
        <w:rPr>
          <w:rFonts w:ascii="Book Antiqua" w:hAnsi="Book Antiqua" w:cs="Arial"/>
          <w:sz w:val="22"/>
          <w:szCs w:val="22"/>
        </w:rPr>
        <w:t>io 2022.</w:t>
      </w:r>
    </w:p>
    <w:p w14:paraId="5575BB65"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L’Ente tiene una contabilità patrimoniale affiancata a quella finanziaria, che ha consentito la registrazione di tutti i movimenti con valenza economico - patrimoniale. A tale scopo viene anche tenuto un registro dei beni ammortizzabili, sia per i</w:t>
      </w:r>
      <w:r>
        <w:rPr>
          <w:rFonts w:ascii="Book Antiqua" w:hAnsi="Book Antiqua" w:cs="Arial"/>
          <w:sz w:val="22"/>
          <w:szCs w:val="22"/>
        </w:rPr>
        <w:t xml:space="preserve"> beni mobili che per i beni immobili, che viene costantemente aggiornato.</w:t>
      </w:r>
    </w:p>
    <w:p w14:paraId="20A2E89C"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Utilizzando il piano dei conti integrato e la matrice di correlazione, che sono unici e obbligatori per tutte le amministrazioni pubbliche e rappresentano la struttura di riferimento</w:t>
      </w:r>
      <w:r>
        <w:rPr>
          <w:rFonts w:ascii="Book Antiqua" w:hAnsi="Book Antiqua" w:cs="Arial"/>
          <w:sz w:val="22"/>
          <w:szCs w:val="22"/>
        </w:rPr>
        <w:t xml:space="preserve"> per la predisposizione dei documenti contabili e di finanza pubblica, giungendo ad un dettaglio di settimo livello, si è in grado di fornire un maggior dettaglio alle singole voci di Stato Patrimoniale e di Conto Economico.</w:t>
      </w:r>
    </w:p>
    <w:p w14:paraId="24C27720"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La contabilità economico-patrim</w:t>
      </w:r>
      <w:r>
        <w:rPr>
          <w:rFonts w:ascii="Book Antiqua" w:hAnsi="Book Antiqua" w:cs="Arial"/>
          <w:sz w:val="22"/>
          <w:szCs w:val="22"/>
        </w:rPr>
        <w:t>oniale, infatti, affianca la contabilità finanziaria, che costituisce il sistema contabile principale e fondamentale per fini autorizzatori e di rendicontazione dei risultati della gestione finanziaria, per rilevare i costi/oneri e i ricavi/proventi deriva</w:t>
      </w:r>
      <w:r>
        <w:rPr>
          <w:rFonts w:ascii="Book Antiqua" w:hAnsi="Book Antiqua" w:cs="Arial"/>
          <w:sz w:val="22"/>
          <w:szCs w:val="22"/>
        </w:rPr>
        <w:t>nti dalle transazioni poste in essere da una amministrazione pubblica al fine di predisporre il conto economico, per rappresentare le “utilità economiche” acquisite ed impiegate nel corso dell’esercizio, anche se non direttamente misurate dai relativi movi</w:t>
      </w:r>
      <w:r>
        <w:rPr>
          <w:rFonts w:ascii="Book Antiqua" w:hAnsi="Book Antiqua" w:cs="Arial"/>
          <w:sz w:val="22"/>
          <w:szCs w:val="22"/>
        </w:rPr>
        <w:t>menti finanziari, e consentire la predisposizione dello Stato Patrimoniale, per rilevare, in particolare, le variazioni del patrimonio dell’ente che costituiscono un indicatore dei risultati della gestione.</w:t>
      </w:r>
    </w:p>
    <w:p w14:paraId="5360C0EB"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Per i beni immobili si è ricostruita la consisten</w:t>
      </w:r>
      <w:r>
        <w:rPr>
          <w:rFonts w:ascii="Book Antiqua" w:hAnsi="Book Antiqua" w:cs="Arial"/>
          <w:sz w:val="22"/>
          <w:szCs w:val="22"/>
        </w:rPr>
        <w:t>za finale netta e tutti gli incrementi e decrementi degli esercizi passati ai fini dell'applicazione delle nuove percentuali di ammortamento e della distinzione sui vari fattori analitici.</w:t>
      </w:r>
    </w:p>
    <w:p w14:paraId="41D5DD59" w14:textId="19747D5C"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Quindi sono stati redatti il Conto Economico, attraverso la concili</w:t>
      </w:r>
      <w:r>
        <w:rPr>
          <w:rFonts w:ascii="Book Antiqua" w:hAnsi="Book Antiqua" w:cs="Arial"/>
          <w:sz w:val="22"/>
          <w:szCs w:val="22"/>
        </w:rPr>
        <w:t>azione di valori e rilevazioni rettificative e integrative (ratei, risconti, insussistenze e sopravvenienze) degli accertamenti in entrata e delle liquidazioni delle spese (e impegni per i trasferimenti correnti) della competenza 2022 e lo Stato Patrimonia</w:t>
      </w:r>
      <w:r>
        <w:rPr>
          <w:rFonts w:ascii="Book Antiqua" w:hAnsi="Book Antiqua" w:cs="Arial"/>
          <w:sz w:val="22"/>
          <w:szCs w:val="22"/>
        </w:rPr>
        <w:t>le secondo i nuovi modelli previsti dal D.Lgs. 118/2011.</w:t>
      </w:r>
    </w:p>
    <w:p w14:paraId="44998157"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Nella redazione dei prospetti si è seguito il Principio contabile applicato della contabilità economico patrimoniale allegato 4/3 del D.Lgs. 118/2011 alla cui base c’è il principio della competenza e</w:t>
      </w:r>
      <w:r>
        <w:rPr>
          <w:rFonts w:ascii="Book Antiqua" w:hAnsi="Book Antiqua" w:cs="Arial"/>
          <w:sz w:val="22"/>
          <w:szCs w:val="22"/>
        </w:rPr>
        <w:t>conomica che consente di imputare a ciascun esercizio costi/oneri e ricavi/proventi.</w:t>
      </w:r>
    </w:p>
    <w:p w14:paraId="5003B08F" w14:textId="77777777" w:rsidR="008F727D" w:rsidRDefault="008F727D">
      <w:pPr>
        <w:spacing w:line="312" w:lineRule="auto"/>
        <w:ind w:left="360"/>
        <w:jc w:val="both"/>
        <w:rPr>
          <w:rFonts w:ascii="Book Antiqua" w:hAnsi="Book Antiqua" w:cs="Arial"/>
          <w:sz w:val="22"/>
          <w:szCs w:val="22"/>
        </w:rPr>
      </w:pPr>
    </w:p>
    <w:p w14:paraId="38994281" w14:textId="77777777" w:rsidR="008F727D" w:rsidRDefault="008F727D">
      <w:pPr>
        <w:spacing w:line="312" w:lineRule="auto"/>
        <w:ind w:left="360"/>
        <w:jc w:val="both"/>
        <w:rPr>
          <w:rFonts w:ascii="Book Antiqua" w:hAnsi="Book Antiqua" w:cs="Arial"/>
          <w:sz w:val="22"/>
          <w:szCs w:val="22"/>
        </w:rPr>
      </w:pPr>
    </w:p>
    <w:p w14:paraId="6A991F8F" w14:textId="77777777" w:rsidR="008F727D" w:rsidRDefault="008F727D">
      <w:pPr>
        <w:spacing w:line="312" w:lineRule="auto"/>
        <w:ind w:left="360"/>
        <w:jc w:val="both"/>
        <w:rPr>
          <w:rFonts w:ascii="Book Antiqua" w:hAnsi="Book Antiqua" w:cs="Arial"/>
          <w:sz w:val="22"/>
          <w:szCs w:val="22"/>
        </w:rPr>
      </w:pPr>
    </w:p>
    <w:p w14:paraId="0F5CA2D8" w14:textId="77777777" w:rsidR="008F727D" w:rsidRDefault="00B71142">
      <w:pPr>
        <w:spacing w:line="312" w:lineRule="auto"/>
        <w:ind w:left="360"/>
        <w:jc w:val="both"/>
        <w:rPr>
          <w:rFonts w:ascii="Book Antiqua" w:hAnsi="Book Antiqua" w:cs="Arial"/>
          <w:sz w:val="28"/>
          <w:szCs w:val="28"/>
        </w:rPr>
      </w:pPr>
      <w:r>
        <w:rPr>
          <w:rFonts w:ascii="Book Antiqua" w:hAnsi="Book Antiqua" w:cs="Arial"/>
          <w:sz w:val="28"/>
          <w:szCs w:val="28"/>
        </w:rPr>
        <w:t>LO STATO PATRIMONIALE</w:t>
      </w:r>
    </w:p>
    <w:p w14:paraId="6FDFEF8A"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Lo Stato Patrimoniale, allegato al rendiconto redatto secondo i nuovi modelli, evidenzia i seguenti risultati:</w:t>
      </w:r>
    </w:p>
    <w:p w14:paraId="7CF56E60" w14:textId="77777777" w:rsidR="008F727D" w:rsidRDefault="008F727D">
      <w:pPr>
        <w:spacing w:line="312" w:lineRule="auto"/>
        <w:ind w:left="360"/>
        <w:jc w:val="both"/>
        <w:rPr>
          <w:rFonts w:ascii="Book Antiqua" w:hAnsi="Book Antiqua" w:cs="Arial"/>
          <w:sz w:val="22"/>
          <w:szCs w:val="22"/>
        </w:rPr>
      </w:pPr>
    </w:p>
    <w:tbl>
      <w:tblPr>
        <w:tblW w:w="10524" w:type="dxa"/>
        <w:tblCellMar>
          <w:left w:w="70" w:type="dxa"/>
          <w:right w:w="70" w:type="dxa"/>
        </w:tblCellMar>
        <w:tblLook w:val="04A0" w:firstRow="1" w:lastRow="0" w:firstColumn="1" w:lastColumn="0" w:noHBand="0" w:noVBand="1"/>
      </w:tblPr>
      <w:tblGrid>
        <w:gridCol w:w="5524"/>
        <w:gridCol w:w="1640"/>
        <w:gridCol w:w="1640"/>
        <w:gridCol w:w="1720"/>
      </w:tblGrid>
      <w:tr w:rsidR="002B432A" w:rsidRPr="002B432A" w14:paraId="778E89C9" w14:textId="77777777" w:rsidTr="002B432A">
        <w:trPr>
          <w:trHeight w:val="620"/>
        </w:trPr>
        <w:tc>
          <w:tcPr>
            <w:tcW w:w="5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060BE"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ATTIVO</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0FEC3BA2"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31/12/2022</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74B86AD3"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31/12/2021</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61E70A99"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 VARIAZIONI</w:t>
            </w:r>
          </w:p>
        </w:tc>
      </w:tr>
      <w:tr w:rsidR="002B432A" w:rsidRPr="002B432A" w14:paraId="6830660D" w14:textId="77777777" w:rsidTr="002B432A">
        <w:trPr>
          <w:trHeight w:val="518"/>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3248EE0A"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A) CREDITI vs.LO STATO ED ALTRE AMMINISTRAZIONI PUBBLICHE PER LA PARTECIPAZIONE AL FONDO DI DOTAZIONE</w:t>
            </w:r>
          </w:p>
        </w:tc>
        <w:tc>
          <w:tcPr>
            <w:tcW w:w="1640" w:type="dxa"/>
            <w:tcBorders>
              <w:top w:val="nil"/>
              <w:left w:val="nil"/>
              <w:bottom w:val="single" w:sz="4" w:space="0" w:color="auto"/>
              <w:right w:val="single" w:sz="4" w:space="0" w:color="auto"/>
            </w:tcBorders>
            <w:shd w:val="clear" w:color="auto" w:fill="auto"/>
            <w:noWrap/>
            <w:vAlign w:val="center"/>
            <w:hideMark/>
          </w:tcPr>
          <w:p w14:paraId="32E0BF97"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7322C20B"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177B170F"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00044D4B"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23C7E521"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immobilizzazioni immateriali</w:t>
            </w:r>
          </w:p>
        </w:tc>
        <w:tc>
          <w:tcPr>
            <w:tcW w:w="1640" w:type="dxa"/>
            <w:tcBorders>
              <w:top w:val="nil"/>
              <w:left w:val="nil"/>
              <w:bottom w:val="single" w:sz="4" w:space="0" w:color="auto"/>
              <w:right w:val="single" w:sz="4" w:space="0" w:color="auto"/>
            </w:tcBorders>
            <w:shd w:val="clear" w:color="auto" w:fill="auto"/>
            <w:noWrap/>
            <w:vAlign w:val="center"/>
            <w:hideMark/>
          </w:tcPr>
          <w:p w14:paraId="46ADE5C0"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1853CA86"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732,00</w:t>
            </w:r>
          </w:p>
        </w:tc>
        <w:tc>
          <w:tcPr>
            <w:tcW w:w="1720" w:type="dxa"/>
            <w:tcBorders>
              <w:top w:val="nil"/>
              <w:left w:val="nil"/>
              <w:bottom w:val="single" w:sz="4" w:space="0" w:color="auto"/>
              <w:right w:val="single" w:sz="4" w:space="0" w:color="auto"/>
            </w:tcBorders>
            <w:shd w:val="clear" w:color="auto" w:fill="auto"/>
            <w:noWrap/>
            <w:vAlign w:val="center"/>
            <w:hideMark/>
          </w:tcPr>
          <w:p w14:paraId="618D2D00"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-732,00</w:t>
            </w:r>
          </w:p>
        </w:tc>
      </w:tr>
      <w:tr w:rsidR="002B432A" w:rsidRPr="002B432A" w14:paraId="219BB1CC"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4015E620"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immobilizzazioni materiali</w:t>
            </w:r>
          </w:p>
        </w:tc>
        <w:tc>
          <w:tcPr>
            <w:tcW w:w="1640" w:type="dxa"/>
            <w:tcBorders>
              <w:top w:val="nil"/>
              <w:left w:val="nil"/>
              <w:bottom w:val="single" w:sz="4" w:space="0" w:color="auto"/>
              <w:right w:val="single" w:sz="4" w:space="0" w:color="auto"/>
            </w:tcBorders>
            <w:shd w:val="clear" w:color="auto" w:fill="auto"/>
            <w:noWrap/>
            <w:vAlign w:val="center"/>
            <w:hideMark/>
          </w:tcPr>
          <w:p w14:paraId="232A3617"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2569D73D"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6873128E"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63F4BFBE" w14:textId="77777777" w:rsidTr="002B432A">
        <w:trPr>
          <w:trHeight w:val="98"/>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6D009B46"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immobilizzazioni finanziarie</w:t>
            </w:r>
          </w:p>
        </w:tc>
        <w:tc>
          <w:tcPr>
            <w:tcW w:w="1640" w:type="dxa"/>
            <w:tcBorders>
              <w:top w:val="nil"/>
              <w:left w:val="nil"/>
              <w:bottom w:val="single" w:sz="4" w:space="0" w:color="auto"/>
              <w:right w:val="single" w:sz="4" w:space="0" w:color="auto"/>
            </w:tcBorders>
            <w:shd w:val="clear" w:color="auto" w:fill="auto"/>
            <w:noWrap/>
            <w:vAlign w:val="center"/>
            <w:hideMark/>
          </w:tcPr>
          <w:p w14:paraId="4B51C729"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1B525E1E"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41F15FCB"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3718F8EA" w14:textId="77777777" w:rsidTr="002B432A">
        <w:trPr>
          <w:trHeight w:val="40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3F6CC36D"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IMMOBILIZZAZIONI (B)</w:t>
            </w:r>
          </w:p>
        </w:tc>
        <w:tc>
          <w:tcPr>
            <w:tcW w:w="1640" w:type="dxa"/>
            <w:tcBorders>
              <w:top w:val="nil"/>
              <w:left w:val="nil"/>
              <w:bottom w:val="single" w:sz="4" w:space="0" w:color="auto"/>
              <w:right w:val="single" w:sz="4" w:space="0" w:color="auto"/>
            </w:tcBorders>
            <w:shd w:val="clear" w:color="auto" w:fill="auto"/>
            <w:noWrap/>
            <w:vAlign w:val="center"/>
            <w:hideMark/>
          </w:tcPr>
          <w:p w14:paraId="4A91F98C"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5D1F5E9A"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732,00</w:t>
            </w:r>
          </w:p>
        </w:tc>
        <w:tc>
          <w:tcPr>
            <w:tcW w:w="1720" w:type="dxa"/>
            <w:tcBorders>
              <w:top w:val="nil"/>
              <w:left w:val="nil"/>
              <w:bottom w:val="single" w:sz="4" w:space="0" w:color="auto"/>
              <w:right w:val="single" w:sz="4" w:space="0" w:color="auto"/>
            </w:tcBorders>
            <w:shd w:val="clear" w:color="auto" w:fill="auto"/>
            <w:noWrap/>
            <w:vAlign w:val="center"/>
            <w:hideMark/>
          </w:tcPr>
          <w:p w14:paraId="177D259F"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-732,00</w:t>
            </w:r>
          </w:p>
        </w:tc>
      </w:tr>
      <w:tr w:rsidR="002B432A" w:rsidRPr="002B432A" w14:paraId="77D4EBA2"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5411ECAB"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Rimanenze</w:t>
            </w:r>
          </w:p>
        </w:tc>
        <w:tc>
          <w:tcPr>
            <w:tcW w:w="1640" w:type="dxa"/>
            <w:tcBorders>
              <w:top w:val="nil"/>
              <w:left w:val="nil"/>
              <w:bottom w:val="single" w:sz="4" w:space="0" w:color="auto"/>
              <w:right w:val="single" w:sz="4" w:space="0" w:color="auto"/>
            </w:tcBorders>
            <w:shd w:val="clear" w:color="auto" w:fill="auto"/>
            <w:noWrap/>
            <w:vAlign w:val="center"/>
            <w:hideMark/>
          </w:tcPr>
          <w:p w14:paraId="4EB136C9"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7F8F8E9D"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415F15D2"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1021C452"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3E609798"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crediti</w:t>
            </w:r>
          </w:p>
        </w:tc>
        <w:tc>
          <w:tcPr>
            <w:tcW w:w="1640" w:type="dxa"/>
            <w:tcBorders>
              <w:top w:val="nil"/>
              <w:left w:val="nil"/>
              <w:bottom w:val="single" w:sz="4" w:space="0" w:color="auto"/>
              <w:right w:val="single" w:sz="4" w:space="0" w:color="auto"/>
            </w:tcBorders>
            <w:shd w:val="clear" w:color="auto" w:fill="auto"/>
            <w:noWrap/>
            <w:vAlign w:val="center"/>
            <w:hideMark/>
          </w:tcPr>
          <w:p w14:paraId="1AA471DF"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3.986.066,87</w:t>
            </w:r>
          </w:p>
        </w:tc>
        <w:tc>
          <w:tcPr>
            <w:tcW w:w="1640" w:type="dxa"/>
            <w:tcBorders>
              <w:top w:val="nil"/>
              <w:left w:val="nil"/>
              <w:bottom w:val="single" w:sz="4" w:space="0" w:color="auto"/>
              <w:right w:val="single" w:sz="4" w:space="0" w:color="auto"/>
            </w:tcBorders>
            <w:shd w:val="clear" w:color="auto" w:fill="auto"/>
            <w:noWrap/>
            <w:vAlign w:val="center"/>
            <w:hideMark/>
          </w:tcPr>
          <w:p w14:paraId="31B12EB6"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1.693.793,32</w:t>
            </w:r>
          </w:p>
        </w:tc>
        <w:tc>
          <w:tcPr>
            <w:tcW w:w="1720" w:type="dxa"/>
            <w:tcBorders>
              <w:top w:val="nil"/>
              <w:left w:val="nil"/>
              <w:bottom w:val="single" w:sz="4" w:space="0" w:color="auto"/>
              <w:right w:val="single" w:sz="4" w:space="0" w:color="auto"/>
            </w:tcBorders>
            <w:shd w:val="clear" w:color="auto" w:fill="auto"/>
            <w:noWrap/>
            <w:vAlign w:val="center"/>
            <w:hideMark/>
          </w:tcPr>
          <w:p w14:paraId="7559C685"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2.292.273,55</w:t>
            </w:r>
          </w:p>
        </w:tc>
      </w:tr>
      <w:tr w:rsidR="002B432A" w:rsidRPr="002B432A" w14:paraId="55961114" w14:textId="77777777" w:rsidTr="002B432A">
        <w:trPr>
          <w:trHeight w:val="62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7A7535C2"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attività finanziarie che non costituiscono immobilizzi</w:t>
            </w:r>
          </w:p>
        </w:tc>
        <w:tc>
          <w:tcPr>
            <w:tcW w:w="1640" w:type="dxa"/>
            <w:tcBorders>
              <w:top w:val="nil"/>
              <w:left w:val="nil"/>
              <w:bottom w:val="single" w:sz="4" w:space="0" w:color="auto"/>
              <w:right w:val="single" w:sz="4" w:space="0" w:color="auto"/>
            </w:tcBorders>
            <w:shd w:val="clear" w:color="auto" w:fill="auto"/>
            <w:noWrap/>
            <w:vAlign w:val="center"/>
            <w:hideMark/>
          </w:tcPr>
          <w:p w14:paraId="7D9C479D"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6F7440DA"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59E8DDE9"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72EB5612"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791A1982"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disponibilità liquide</w:t>
            </w:r>
          </w:p>
        </w:tc>
        <w:tc>
          <w:tcPr>
            <w:tcW w:w="1640" w:type="dxa"/>
            <w:tcBorders>
              <w:top w:val="nil"/>
              <w:left w:val="nil"/>
              <w:bottom w:val="single" w:sz="4" w:space="0" w:color="auto"/>
              <w:right w:val="single" w:sz="4" w:space="0" w:color="auto"/>
            </w:tcBorders>
            <w:shd w:val="clear" w:color="auto" w:fill="auto"/>
            <w:noWrap/>
            <w:vAlign w:val="center"/>
            <w:hideMark/>
          </w:tcPr>
          <w:p w14:paraId="795189FB"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10.440.184,36</w:t>
            </w:r>
          </w:p>
        </w:tc>
        <w:tc>
          <w:tcPr>
            <w:tcW w:w="1640" w:type="dxa"/>
            <w:tcBorders>
              <w:top w:val="nil"/>
              <w:left w:val="nil"/>
              <w:bottom w:val="single" w:sz="4" w:space="0" w:color="auto"/>
              <w:right w:val="single" w:sz="4" w:space="0" w:color="auto"/>
            </w:tcBorders>
            <w:shd w:val="clear" w:color="auto" w:fill="auto"/>
            <w:noWrap/>
            <w:vAlign w:val="center"/>
            <w:hideMark/>
          </w:tcPr>
          <w:p w14:paraId="482768D4"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12.410.440,02</w:t>
            </w:r>
          </w:p>
        </w:tc>
        <w:tc>
          <w:tcPr>
            <w:tcW w:w="1720" w:type="dxa"/>
            <w:tcBorders>
              <w:top w:val="nil"/>
              <w:left w:val="nil"/>
              <w:bottom w:val="single" w:sz="4" w:space="0" w:color="auto"/>
              <w:right w:val="single" w:sz="4" w:space="0" w:color="auto"/>
            </w:tcBorders>
            <w:shd w:val="clear" w:color="auto" w:fill="auto"/>
            <w:noWrap/>
            <w:vAlign w:val="center"/>
            <w:hideMark/>
          </w:tcPr>
          <w:p w14:paraId="2AED7697"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-1.970.255,66</w:t>
            </w:r>
          </w:p>
        </w:tc>
      </w:tr>
      <w:tr w:rsidR="002B432A" w:rsidRPr="002B432A" w14:paraId="2EACF459"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4951DADD"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ATTIVO CIRCOLANTE (C)</w:t>
            </w:r>
          </w:p>
        </w:tc>
        <w:tc>
          <w:tcPr>
            <w:tcW w:w="1640" w:type="dxa"/>
            <w:tcBorders>
              <w:top w:val="nil"/>
              <w:left w:val="nil"/>
              <w:bottom w:val="single" w:sz="4" w:space="0" w:color="auto"/>
              <w:right w:val="single" w:sz="4" w:space="0" w:color="auto"/>
            </w:tcBorders>
            <w:shd w:val="clear" w:color="auto" w:fill="auto"/>
            <w:noWrap/>
            <w:vAlign w:val="center"/>
            <w:hideMark/>
          </w:tcPr>
          <w:p w14:paraId="64462088"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14.426.251,23</w:t>
            </w:r>
          </w:p>
        </w:tc>
        <w:tc>
          <w:tcPr>
            <w:tcW w:w="1640" w:type="dxa"/>
            <w:tcBorders>
              <w:top w:val="nil"/>
              <w:left w:val="nil"/>
              <w:bottom w:val="single" w:sz="4" w:space="0" w:color="auto"/>
              <w:right w:val="single" w:sz="4" w:space="0" w:color="auto"/>
            </w:tcBorders>
            <w:shd w:val="clear" w:color="auto" w:fill="auto"/>
            <w:noWrap/>
            <w:vAlign w:val="center"/>
            <w:hideMark/>
          </w:tcPr>
          <w:p w14:paraId="715AEFD9"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14.104.233,34</w:t>
            </w:r>
          </w:p>
        </w:tc>
        <w:tc>
          <w:tcPr>
            <w:tcW w:w="1720" w:type="dxa"/>
            <w:tcBorders>
              <w:top w:val="nil"/>
              <w:left w:val="nil"/>
              <w:bottom w:val="single" w:sz="4" w:space="0" w:color="auto"/>
              <w:right w:val="single" w:sz="4" w:space="0" w:color="auto"/>
            </w:tcBorders>
            <w:shd w:val="clear" w:color="auto" w:fill="auto"/>
            <w:noWrap/>
            <w:vAlign w:val="center"/>
            <w:hideMark/>
          </w:tcPr>
          <w:p w14:paraId="48B04DFE"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322.017,89</w:t>
            </w:r>
          </w:p>
        </w:tc>
      </w:tr>
      <w:tr w:rsidR="002B432A" w:rsidRPr="002B432A" w14:paraId="50C99F55"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3C26C376"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RATEI E RISCONTI  (D)</w:t>
            </w:r>
          </w:p>
        </w:tc>
        <w:tc>
          <w:tcPr>
            <w:tcW w:w="1640" w:type="dxa"/>
            <w:tcBorders>
              <w:top w:val="nil"/>
              <w:left w:val="nil"/>
              <w:bottom w:val="single" w:sz="4" w:space="0" w:color="auto"/>
              <w:right w:val="single" w:sz="4" w:space="0" w:color="auto"/>
            </w:tcBorders>
            <w:shd w:val="clear" w:color="auto" w:fill="auto"/>
            <w:noWrap/>
            <w:vAlign w:val="center"/>
            <w:hideMark/>
          </w:tcPr>
          <w:p w14:paraId="36256A7F"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547361CD"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697BE33E"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697AF024" w14:textId="77777777" w:rsidTr="002B432A">
        <w:trPr>
          <w:trHeight w:val="62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61F2699A" w14:textId="77777777" w:rsidR="002B432A" w:rsidRPr="002B432A" w:rsidRDefault="002B432A" w:rsidP="002B432A">
            <w:pPr>
              <w:rPr>
                <w:rFonts w:ascii="Arial" w:hAnsi="Arial" w:cs="Arial"/>
                <w:b/>
                <w:bCs/>
                <w:color w:val="000000"/>
                <w:sz w:val="22"/>
                <w:szCs w:val="22"/>
              </w:rPr>
            </w:pPr>
            <w:r w:rsidRPr="002B432A">
              <w:rPr>
                <w:rFonts w:ascii="Arial" w:hAnsi="Arial" w:cs="Arial"/>
                <w:b/>
                <w:bCs/>
                <w:color w:val="000000"/>
                <w:sz w:val="22"/>
                <w:szCs w:val="22"/>
              </w:rPr>
              <w:t>TOTALE DELL'ATTIVO (A+B+C+D)</w:t>
            </w:r>
          </w:p>
        </w:tc>
        <w:tc>
          <w:tcPr>
            <w:tcW w:w="1640" w:type="dxa"/>
            <w:tcBorders>
              <w:top w:val="nil"/>
              <w:left w:val="nil"/>
              <w:bottom w:val="single" w:sz="4" w:space="0" w:color="auto"/>
              <w:right w:val="single" w:sz="4" w:space="0" w:color="auto"/>
            </w:tcBorders>
            <w:shd w:val="clear" w:color="auto" w:fill="auto"/>
            <w:noWrap/>
            <w:vAlign w:val="center"/>
            <w:hideMark/>
          </w:tcPr>
          <w:p w14:paraId="2BCA1E1A"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14.426.251,23</w:t>
            </w:r>
          </w:p>
        </w:tc>
        <w:tc>
          <w:tcPr>
            <w:tcW w:w="1640" w:type="dxa"/>
            <w:tcBorders>
              <w:top w:val="nil"/>
              <w:left w:val="nil"/>
              <w:bottom w:val="single" w:sz="4" w:space="0" w:color="auto"/>
              <w:right w:val="single" w:sz="4" w:space="0" w:color="auto"/>
            </w:tcBorders>
            <w:shd w:val="clear" w:color="auto" w:fill="auto"/>
            <w:noWrap/>
            <w:vAlign w:val="center"/>
            <w:hideMark/>
          </w:tcPr>
          <w:p w14:paraId="03F1872B"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14.104.965,34</w:t>
            </w:r>
          </w:p>
        </w:tc>
        <w:tc>
          <w:tcPr>
            <w:tcW w:w="1720" w:type="dxa"/>
            <w:tcBorders>
              <w:top w:val="nil"/>
              <w:left w:val="nil"/>
              <w:bottom w:val="single" w:sz="4" w:space="0" w:color="auto"/>
              <w:right w:val="single" w:sz="4" w:space="0" w:color="auto"/>
            </w:tcBorders>
            <w:shd w:val="clear" w:color="auto" w:fill="auto"/>
            <w:noWrap/>
            <w:vAlign w:val="center"/>
            <w:hideMark/>
          </w:tcPr>
          <w:p w14:paraId="63DB272E"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321.285,89</w:t>
            </w:r>
          </w:p>
        </w:tc>
      </w:tr>
    </w:tbl>
    <w:p w14:paraId="64ACB0E0" w14:textId="77777777" w:rsidR="008F727D" w:rsidRDefault="008F727D">
      <w:pPr>
        <w:spacing w:line="312" w:lineRule="auto"/>
        <w:ind w:left="360"/>
        <w:jc w:val="both"/>
        <w:rPr>
          <w:rFonts w:ascii="Book Antiqua" w:hAnsi="Book Antiqua" w:cs="Arial"/>
          <w:sz w:val="22"/>
          <w:szCs w:val="22"/>
        </w:rPr>
      </w:pPr>
    </w:p>
    <w:tbl>
      <w:tblPr>
        <w:tblW w:w="10524" w:type="dxa"/>
        <w:tblCellMar>
          <w:left w:w="70" w:type="dxa"/>
          <w:right w:w="70" w:type="dxa"/>
        </w:tblCellMar>
        <w:tblLook w:val="04A0" w:firstRow="1" w:lastRow="0" w:firstColumn="1" w:lastColumn="0" w:noHBand="0" w:noVBand="1"/>
      </w:tblPr>
      <w:tblGrid>
        <w:gridCol w:w="5524"/>
        <w:gridCol w:w="1640"/>
        <w:gridCol w:w="1640"/>
        <w:gridCol w:w="1720"/>
      </w:tblGrid>
      <w:tr w:rsidR="002B432A" w:rsidRPr="002B432A" w14:paraId="1B1C3435" w14:textId="77777777" w:rsidTr="002B432A">
        <w:trPr>
          <w:trHeight w:val="31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41154"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PASSIVO</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13B9AE4B"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31/12/2022</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55602080"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31/12/2021</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63CBC39C" w14:textId="77777777" w:rsidR="002B432A" w:rsidRPr="002B432A" w:rsidRDefault="002B432A" w:rsidP="002B432A">
            <w:pPr>
              <w:jc w:val="center"/>
              <w:rPr>
                <w:rFonts w:ascii="Arial" w:hAnsi="Arial" w:cs="Arial"/>
                <w:b/>
                <w:bCs/>
                <w:color w:val="000000"/>
                <w:sz w:val="22"/>
                <w:szCs w:val="22"/>
              </w:rPr>
            </w:pPr>
            <w:r w:rsidRPr="002B432A">
              <w:rPr>
                <w:rFonts w:ascii="Arial" w:hAnsi="Arial" w:cs="Arial"/>
                <w:b/>
                <w:bCs/>
                <w:color w:val="000000"/>
                <w:sz w:val="22"/>
                <w:szCs w:val="22"/>
              </w:rPr>
              <w:t>-+ VARIAZIONI</w:t>
            </w:r>
          </w:p>
        </w:tc>
      </w:tr>
      <w:tr w:rsidR="002B432A" w:rsidRPr="002B432A" w14:paraId="2E3160F7"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240B8463" w14:textId="77777777" w:rsidR="002B432A" w:rsidRPr="002B432A" w:rsidRDefault="002B432A" w:rsidP="002B432A">
            <w:pPr>
              <w:rPr>
                <w:rFonts w:ascii="Arial" w:hAnsi="Arial" w:cs="Arial"/>
                <w:b/>
                <w:bCs/>
                <w:color w:val="000000"/>
                <w:sz w:val="22"/>
                <w:szCs w:val="22"/>
              </w:rPr>
            </w:pPr>
            <w:r w:rsidRPr="002B432A">
              <w:rPr>
                <w:rFonts w:ascii="Arial" w:hAnsi="Arial" w:cs="Arial"/>
                <w:b/>
                <w:bCs/>
                <w:color w:val="000000"/>
                <w:sz w:val="22"/>
                <w:szCs w:val="22"/>
              </w:rPr>
              <w:t>TOTALE PATRIMONIO NETTO (A)</w:t>
            </w:r>
          </w:p>
        </w:tc>
        <w:tc>
          <w:tcPr>
            <w:tcW w:w="1640" w:type="dxa"/>
            <w:tcBorders>
              <w:top w:val="nil"/>
              <w:left w:val="nil"/>
              <w:bottom w:val="single" w:sz="4" w:space="0" w:color="auto"/>
              <w:right w:val="single" w:sz="4" w:space="0" w:color="auto"/>
            </w:tcBorders>
            <w:shd w:val="clear" w:color="auto" w:fill="auto"/>
            <w:noWrap/>
            <w:vAlign w:val="center"/>
            <w:hideMark/>
          </w:tcPr>
          <w:p w14:paraId="68E2871B"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452.868,58</w:t>
            </w:r>
          </w:p>
        </w:tc>
        <w:tc>
          <w:tcPr>
            <w:tcW w:w="1640" w:type="dxa"/>
            <w:tcBorders>
              <w:top w:val="nil"/>
              <w:left w:val="nil"/>
              <w:bottom w:val="single" w:sz="4" w:space="0" w:color="auto"/>
              <w:right w:val="single" w:sz="4" w:space="0" w:color="auto"/>
            </w:tcBorders>
            <w:shd w:val="clear" w:color="auto" w:fill="auto"/>
            <w:noWrap/>
            <w:vAlign w:val="center"/>
            <w:hideMark/>
          </w:tcPr>
          <w:p w14:paraId="5565F90A"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2.389.243,99</w:t>
            </w:r>
          </w:p>
        </w:tc>
        <w:tc>
          <w:tcPr>
            <w:tcW w:w="1720" w:type="dxa"/>
            <w:tcBorders>
              <w:top w:val="nil"/>
              <w:left w:val="nil"/>
              <w:bottom w:val="single" w:sz="4" w:space="0" w:color="auto"/>
              <w:right w:val="single" w:sz="4" w:space="0" w:color="auto"/>
            </w:tcBorders>
            <w:shd w:val="clear" w:color="auto" w:fill="auto"/>
            <w:noWrap/>
            <w:vAlign w:val="center"/>
            <w:hideMark/>
          </w:tcPr>
          <w:p w14:paraId="440FD37E"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-1.936.375,41</w:t>
            </w:r>
          </w:p>
        </w:tc>
      </w:tr>
      <w:tr w:rsidR="002B432A" w:rsidRPr="002B432A" w14:paraId="106BCC6A" w14:textId="77777777" w:rsidTr="002B432A">
        <w:trPr>
          <w:trHeight w:val="234"/>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3761B58E"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FONDI RISCHI ED ONERI (B)</w:t>
            </w:r>
          </w:p>
        </w:tc>
        <w:tc>
          <w:tcPr>
            <w:tcW w:w="1640" w:type="dxa"/>
            <w:tcBorders>
              <w:top w:val="nil"/>
              <w:left w:val="nil"/>
              <w:bottom w:val="single" w:sz="4" w:space="0" w:color="auto"/>
              <w:right w:val="single" w:sz="4" w:space="0" w:color="auto"/>
            </w:tcBorders>
            <w:shd w:val="clear" w:color="auto" w:fill="auto"/>
            <w:noWrap/>
            <w:vAlign w:val="center"/>
            <w:hideMark/>
          </w:tcPr>
          <w:p w14:paraId="3A7EC98D"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2D06EC35"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7DA079C1"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194E1E19"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128DB62F"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T.F.R. (C)</w:t>
            </w:r>
          </w:p>
        </w:tc>
        <w:tc>
          <w:tcPr>
            <w:tcW w:w="1640" w:type="dxa"/>
            <w:tcBorders>
              <w:top w:val="nil"/>
              <w:left w:val="nil"/>
              <w:bottom w:val="single" w:sz="4" w:space="0" w:color="auto"/>
              <w:right w:val="single" w:sz="4" w:space="0" w:color="auto"/>
            </w:tcBorders>
            <w:shd w:val="clear" w:color="auto" w:fill="auto"/>
            <w:noWrap/>
            <w:vAlign w:val="center"/>
            <w:hideMark/>
          </w:tcPr>
          <w:p w14:paraId="6192DAFA"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640" w:type="dxa"/>
            <w:tcBorders>
              <w:top w:val="nil"/>
              <w:left w:val="nil"/>
              <w:bottom w:val="single" w:sz="4" w:space="0" w:color="auto"/>
              <w:right w:val="single" w:sz="4" w:space="0" w:color="auto"/>
            </w:tcBorders>
            <w:shd w:val="clear" w:color="auto" w:fill="auto"/>
            <w:noWrap/>
            <w:vAlign w:val="center"/>
            <w:hideMark/>
          </w:tcPr>
          <w:p w14:paraId="59E7819C"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216420E1"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75E49758"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64E56E0F"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DEBITI ( D)</w:t>
            </w:r>
          </w:p>
        </w:tc>
        <w:tc>
          <w:tcPr>
            <w:tcW w:w="1640" w:type="dxa"/>
            <w:tcBorders>
              <w:top w:val="nil"/>
              <w:left w:val="nil"/>
              <w:bottom w:val="single" w:sz="4" w:space="0" w:color="auto"/>
              <w:right w:val="single" w:sz="4" w:space="0" w:color="auto"/>
            </w:tcBorders>
            <w:shd w:val="clear" w:color="auto" w:fill="auto"/>
            <w:noWrap/>
            <w:vAlign w:val="center"/>
            <w:hideMark/>
          </w:tcPr>
          <w:p w14:paraId="50BC3281"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13.959.867,02</w:t>
            </w:r>
          </w:p>
        </w:tc>
        <w:tc>
          <w:tcPr>
            <w:tcW w:w="1640" w:type="dxa"/>
            <w:tcBorders>
              <w:top w:val="nil"/>
              <w:left w:val="nil"/>
              <w:bottom w:val="single" w:sz="4" w:space="0" w:color="auto"/>
              <w:right w:val="single" w:sz="4" w:space="0" w:color="auto"/>
            </w:tcBorders>
            <w:shd w:val="clear" w:color="auto" w:fill="auto"/>
            <w:noWrap/>
            <w:vAlign w:val="center"/>
            <w:hideMark/>
          </w:tcPr>
          <w:p w14:paraId="5EEA5EC5"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11.689.601,05</w:t>
            </w:r>
          </w:p>
        </w:tc>
        <w:tc>
          <w:tcPr>
            <w:tcW w:w="1720" w:type="dxa"/>
            <w:tcBorders>
              <w:top w:val="nil"/>
              <w:left w:val="nil"/>
              <w:bottom w:val="single" w:sz="4" w:space="0" w:color="auto"/>
              <w:right w:val="single" w:sz="4" w:space="0" w:color="auto"/>
            </w:tcBorders>
            <w:shd w:val="clear" w:color="auto" w:fill="auto"/>
            <w:noWrap/>
            <w:vAlign w:val="center"/>
            <w:hideMark/>
          </w:tcPr>
          <w:p w14:paraId="60429896"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2.270.265,97</w:t>
            </w:r>
          </w:p>
        </w:tc>
      </w:tr>
      <w:tr w:rsidR="002B432A" w:rsidRPr="002B432A" w14:paraId="65CB0725" w14:textId="77777777" w:rsidTr="002B432A">
        <w:trPr>
          <w:trHeight w:val="31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5D8EF78A"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TOTALE RATEI E RISCONTI (E)</w:t>
            </w:r>
          </w:p>
        </w:tc>
        <w:tc>
          <w:tcPr>
            <w:tcW w:w="1640" w:type="dxa"/>
            <w:tcBorders>
              <w:top w:val="nil"/>
              <w:left w:val="nil"/>
              <w:bottom w:val="single" w:sz="4" w:space="0" w:color="auto"/>
              <w:right w:val="single" w:sz="4" w:space="0" w:color="auto"/>
            </w:tcBorders>
            <w:shd w:val="clear" w:color="auto" w:fill="auto"/>
            <w:noWrap/>
            <w:vAlign w:val="center"/>
            <w:hideMark/>
          </w:tcPr>
          <w:p w14:paraId="50BB4A9D"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13.515,63</w:t>
            </w:r>
          </w:p>
        </w:tc>
        <w:tc>
          <w:tcPr>
            <w:tcW w:w="1640" w:type="dxa"/>
            <w:tcBorders>
              <w:top w:val="nil"/>
              <w:left w:val="nil"/>
              <w:bottom w:val="single" w:sz="4" w:space="0" w:color="auto"/>
              <w:right w:val="single" w:sz="4" w:space="0" w:color="auto"/>
            </w:tcBorders>
            <w:shd w:val="clear" w:color="auto" w:fill="auto"/>
            <w:noWrap/>
            <w:vAlign w:val="center"/>
            <w:hideMark/>
          </w:tcPr>
          <w:p w14:paraId="3C2A4EF0"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26.120,30</w:t>
            </w:r>
          </w:p>
        </w:tc>
        <w:tc>
          <w:tcPr>
            <w:tcW w:w="1720" w:type="dxa"/>
            <w:tcBorders>
              <w:top w:val="nil"/>
              <w:left w:val="nil"/>
              <w:bottom w:val="single" w:sz="4" w:space="0" w:color="auto"/>
              <w:right w:val="single" w:sz="4" w:space="0" w:color="auto"/>
            </w:tcBorders>
            <w:shd w:val="clear" w:color="auto" w:fill="auto"/>
            <w:noWrap/>
            <w:vAlign w:val="center"/>
            <w:hideMark/>
          </w:tcPr>
          <w:p w14:paraId="3E23283A"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-12.604,67</w:t>
            </w:r>
          </w:p>
        </w:tc>
      </w:tr>
      <w:tr w:rsidR="002B432A" w:rsidRPr="002B432A" w14:paraId="58E68A8D" w14:textId="77777777" w:rsidTr="002B432A">
        <w:trPr>
          <w:trHeight w:val="620"/>
        </w:trPr>
        <w:tc>
          <w:tcPr>
            <w:tcW w:w="5524" w:type="dxa"/>
            <w:tcBorders>
              <w:top w:val="nil"/>
              <w:left w:val="single" w:sz="4" w:space="0" w:color="auto"/>
              <w:bottom w:val="single" w:sz="4" w:space="0" w:color="auto"/>
              <w:right w:val="single" w:sz="4" w:space="0" w:color="auto"/>
            </w:tcBorders>
            <w:shd w:val="clear" w:color="auto" w:fill="auto"/>
            <w:vAlign w:val="center"/>
            <w:hideMark/>
          </w:tcPr>
          <w:p w14:paraId="38DDFA9F" w14:textId="77777777" w:rsidR="002B432A" w:rsidRPr="002B432A" w:rsidRDefault="002B432A" w:rsidP="002B432A">
            <w:pPr>
              <w:rPr>
                <w:rFonts w:ascii="Arial" w:hAnsi="Arial" w:cs="Arial"/>
                <w:b/>
                <w:bCs/>
                <w:color w:val="000000"/>
                <w:sz w:val="22"/>
                <w:szCs w:val="22"/>
              </w:rPr>
            </w:pPr>
            <w:r w:rsidRPr="002B432A">
              <w:rPr>
                <w:rFonts w:ascii="Arial" w:hAnsi="Arial" w:cs="Arial"/>
                <w:b/>
                <w:bCs/>
                <w:color w:val="000000"/>
                <w:sz w:val="22"/>
                <w:szCs w:val="22"/>
              </w:rPr>
              <w:t>TOTALE DEL PASSIVO (A+B+C+D+E)</w:t>
            </w:r>
          </w:p>
        </w:tc>
        <w:tc>
          <w:tcPr>
            <w:tcW w:w="1640" w:type="dxa"/>
            <w:tcBorders>
              <w:top w:val="nil"/>
              <w:left w:val="nil"/>
              <w:bottom w:val="single" w:sz="4" w:space="0" w:color="auto"/>
              <w:right w:val="single" w:sz="4" w:space="0" w:color="auto"/>
            </w:tcBorders>
            <w:shd w:val="clear" w:color="auto" w:fill="auto"/>
            <w:noWrap/>
            <w:vAlign w:val="center"/>
            <w:hideMark/>
          </w:tcPr>
          <w:p w14:paraId="36E479FB"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14.426.251,23</w:t>
            </w:r>
          </w:p>
        </w:tc>
        <w:tc>
          <w:tcPr>
            <w:tcW w:w="1640" w:type="dxa"/>
            <w:tcBorders>
              <w:top w:val="nil"/>
              <w:left w:val="nil"/>
              <w:bottom w:val="single" w:sz="4" w:space="0" w:color="auto"/>
              <w:right w:val="single" w:sz="4" w:space="0" w:color="auto"/>
            </w:tcBorders>
            <w:shd w:val="clear" w:color="auto" w:fill="auto"/>
            <w:noWrap/>
            <w:vAlign w:val="center"/>
            <w:hideMark/>
          </w:tcPr>
          <w:p w14:paraId="76287250"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14.104.965,34</w:t>
            </w:r>
          </w:p>
        </w:tc>
        <w:tc>
          <w:tcPr>
            <w:tcW w:w="1720" w:type="dxa"/>
            <w:tcBorders>
              <w:top w:val="nil"/>
              <w:left w:val="nil"/>
              <w:bottom w:val="single" w:sz="4" w:space="0" w:color="auto"/>
              <w:right w:val="single" w:sz="4" w:space="0" w:color="auto"/>
            </w:tcBorders>
            <w:shd w:val="clear" w:color="auto" w:fill="auto"/>
            <w:noWrap/>
            <w:vAlign w:val="center"/>
            <w:hideMark/>
          </w:tcPr>
          <w:p w14:paraId="08B668FE"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321.285,89</w:t>
            </w:r>
          </w:p>
        </w:tc>
      </w:tr>
    </w:tbl>
    <w:p w14:paraId="500A62B5" w14:textId="77777777" w:rsidR="008F727D" w:rsidRDefault="008F727D">
      <w:pPr>
        <w:spacing w:line="312" w:lineRule="auto"/>
        <w:ind w:left="360"/>
        <w:jc w:val="both"/>
        <w:rPr>
          <w:rFonts w:ascii="Book Antiqua" w:hAnsi="Book Antiqua" w:cs="Arial"/>
          <w:sz w:val="22"/>
          <w:szCs w:val="22"/>
        </w:rPr>
      </w:pPr>
    </w:p>
    <w:p w14:paraId="13176DAA" w14:textId="77777777" w:rsidR="008F727D" w:rsidRDefault="00B71142">
      <w:pPr>
        <w:spacing w:line="312" w:lineRule="auto"/>
        <w:ind w:left="357"/>
        <w:jc w:val="both"/>
        <w:rPr>
          <w:sz w:val="22"/>
          <w:szCs w:val="22"/>
        </w:rPr>
      </w:pPr>
      <w:r>
        <w:rPr>
          <w:sz w:val="22"/>
          <w:szCs w:val="22"/>
        </w:rPr>
        <w:t xml:space="preserve">Il patrimonio contiene i valori riportati nei vari inventari dell’Ente. I criteri adottati per la valutazione di tali beni sono conformi a quelli previsti dall’art. 230 del D. Lgs. n.267/2000. L’Ente ha provveduto ad una riclassificazione delle voci dello </w:t>
      </w:r>
      <w:r>
        <w:rPr>
          <w:sz w:val="22"/>
          <w:szCs w:val="22"/>
        </w:rPr>
        <w:t xml:space="preserve">stato patrimoniale ponendo maggiore attenzione ai criteri di valutazione previsti al punto 9.1 del principio contabile applicato 4/3, principio contabile applicato concernente la contabilità economico patrimoniale degli enti in contabilità finanziaria. </w:t>
      </w:r>
    </w:p>
    <w:p w14:paraId="04D6D719" w14:textId="77777777" w:rsidR="008F727D" w:rsidRDefault="00B71142">
      <w:pPr>
        <w:spacing w:line="312" w:lineRule="auto"/>
        <w:ind w:left="357"/>
        <w:jc w:val="both"/>
        <w:rPr>
          <w:sz w:val="22"/>
          <w:szCs w:val="22"/>
        </w:rPr>
      </w:pPr>
      <w:r>
        <w:rPr>
          <w:sz w:val="22"/>
          <w:szCs w:val="22"/>
        </w:rPr>
        <w:t>In</w:t>
      </w:r>
      <w:r>
        <w:rPr>
          <w:sz w:val="22"/>
          <w:szCs w:val="22"/>
        </w:rPr>
        <w:t xml:space="preserve"> particolare per quanto riguarda i BENI MOBILI si è provveduto ad una riclassificazione delle voci suddividendo anche le classi dell’inventario sui nuovi fattori, utilizzando i fattori patrimoniali ed economici e giungendo ad un dettaglio di settimo livell</w:t>
      </w:r>
      <w:r>
        <w:rPr>
          <w:sz w:val="22"/>
          <w:szCs w:val="22"/>
        </w:rPr>
        <w:t xml:space="preserve">o, attraverso il piano dei conti integrato e la matrice di correlazione di ARCONET. Inoltre si sono applicate le nuove percentuali di ammortamento dei beni mobili. </w:t>
      </w:r>
    </w:p>
    <w:p w14:paraId="4106805F" w14:textId="77777777" w:rsidR="008F727D" w:rsidRDefault="00B71142">
      <w:pPr>
        <w:spacing w:line="312" w:lineRule="auto"/>
        <w:ind w:left="357"/>
        <w:jc w:val="both"/>
        <w:rPr>
          <w:sz w:val="22"/>
          <w:szCs w:val="22"/>
        </w:rPr>
      </w:pPr>
      <w:r>
        <w:rPr>
          <w:sz w:val="22"/>
          <w:szCs w:val="22"/>
        </w:rPr>
        <w:t>Per i BENI IMMOBILI si è ricostruita la consistenza finale netta e tutti gli incrementi e d</w:t>
      </w:r>
      <w:r>
        <w:rPr>
          <w:sz w:val="22"/>
          <w:szCs w:val="22"/>
        </w:rPr>
        <w:t xml:space="preserve">ecrementi degli esercizi passati ai fini dell'applicazione delle nuove percentuali di ammortamento e della distinzione sui vari fattori analitici. I valori finali trovano corrispondenza con quanto riportato nell’inventario e nelle scritture contabili. </w:t>
      </w:r>
    </w:p>
    <w:p w14:paraId="31778F62" w14:textId="427F5A7B" w:rsidR="008F727D" w:rsidRDefault="00B71142">
      <w:pPr>
        <w:spacing w:line="312" w:lineRule="auto"/>
        <w:ind w:left="357"/>
        <w:jc w:val="both"/>
        <w:rPr>
          <w:sz w:val="22"/>
          <w:szCs w:val="22"/>
        </w:rPr>
      </w:pPr>
      <w:r>
        <w:rPr>
          <w:sz w:val="22"/>
          <w:szCs w:val="22"/>
        </w:rPr>
        <w:t xml:space="preserve">Le </w:t>
      </w:r>
      <w:r>
        <w:rPr>
          <w:sz w:val="22"/>
          <w:szCs w:val="22"/>
        </w:rPr>
        <w:t>IMMOBILIZZAZIONI IMMATERIALI riguardano costi pluriennali capitalizzati principalmente riferiti a concessioni e licenze per l’uso di software.</w:t>
      </w:r>
    </w:p>
    <w:p w14:paraId="52C47865" w14:textId="77777777" w:rsidR="008F727D" w:rsidRDefault="00B71142">
      <w:pPr>
        <w:spacing w:line="312" w:lineRule="auto"/>
        <w:ind w:left="357"/>
        <w:jc w:val="both"/>
        <w:rPr>
          <w:sz w:val="22"/>
          <w:szCs w:val="22"/>
        </w:rPr>
      </w:pPr>
      <w:r>
        <w:rPr>
          <w:sz w:val="22"/>
          <w:szCs w:val="22"/>
        </w:rPr>
        <w:t xml:space="preserve">Le IMMOBILIZZAZIONI FINANZIARIE si suddividono in </w:t>
      </w:r>
      <w:r>
        <w:rPr>
          <w:i/>
          <w:sz w:val="22"/>
          <w:szCs w:val="22"/>
        </w:rPr>
        <w:t>Imprese controllate</w:t>
      </w:r>
      <w:r>
        <w:rPr>
          <w:sz w:val="22"/>
          <w:szCs w:val="22"/>
        </w:rPr>
        <w:t xml:space="preserve"> e </w:t>
      </w:r>
      <w:r>
        <w:rPr>
          <w:i/>
          <w:sz w:val="22"/>
          <w:szCs w:val="22"/>
        </w:rPr>
        <w:t>Imprese partecipate</w:t>
      </w:r>
      <w:r>
        <w:rPr>
          <w:sz w:val="22"/>
          <w:szCs w:val="22"/>
        </w:rPr>
        <w:t>.</w:t>
      </w:r>
    </w:p>
    <w:p w14:paraId="23C468DA" w14:textId="1BD53108" w:rsidR="002B432A" w:rsidRDefault="002B432A">
      <w:pPr>
        <w:spacing w:line="312" w:lineRule="auto"/>
        <w:ind w:left="357"/>
        <w:jc w:val="both"/>
        <w:rPr>
          <w:sz w:val="22"/>
          <w:szCs w:val="22"/>
        </w:rPr>
      </w:pPr>
      <w:r>
        <w:rPr>
          <w:sz w:val="22"/>
          <w:szCs w:val="22"/>
        </w:rPr>
        <w:t>L’Agenzia non detiene partecipazioni.</w:t>
      </w:r>
    </w:p>
    <w:p w14:paraId="42A6C7D4" w14:textId="77777777" w:rsidR="008F727D" w:rsidRDefault="008F727D">
      <w:pPr>
        <w:spacing w:line="312" w:lineRule="auto"/>
        <w:ind w:left="357"/>
        <w:jc w:val="both"/>
        <w:rPr>
          <w:sz w:val="22"/>
          <w:szCs w:val="22"/>
        </w:rPr>
      </w:pPr>
    </w:p>
    <w:p w14:paraId="08300E2F" w14:textId="20153051" w:rsidR="008F727D" w:rsidRDefault="00B71142">
      <w:pPr>
        <w:spacing w:line="312" w:lineRule="auto"/>
        <w:ind w:left="360"/>
        <w:jc w:val="both"/>
        <w:rPr>
          <w:sz w:val="22"/>
          <w:szCs w:val="22"/>
        </w:rPr>
      </w:pPr>
      <w:r>
        <w:rPr>
          <w:sz w:val="22"/>
          <w:szCs w:val="22"/>
        </w:rPr>
        <w:t>E’ stata verificata la corrispondenza tra i residui attivi e l’ammontare dei CREDITI di funzionamento, come indicato al punto 6.2 del principio contabile applicato 4/3</w:t>
      </w:r>
      <w:r w:rsidR="002B432A">
        <w:rPr>
          <w:sz w:val="22"/>
          <w:szCs w:val="22"/>
        </w:rPr>
        <w:t>.</w:t>
      </w:r>
    </w:p>
    <w:p w14:paraId="392B7B8D" w14:textId="77777777" w:rsidR="008F727D" w:rsidRDefault="008F727D">
      <w:pPr>
        <w:spacing w:line="312" w:lineRule="auto"/>
        <w:ind w:left="360"/>
        <w:jc w:val="both"/>
        <w:rPr>
          <w:sz w:val="22"/>
          <w:szCs w:val="22"/>
        </w:rPr>
      </w:pPr>
    </w:p>
    <w:p w14:paraId="542FA484" w14:textId="67EB653F" w:rsidR="008F727D" w:rsidRDefault="00B71142">
      <w:pPr>
        <w:spacing w:line="312" w:lineRule="auto"/>
        <w:ind w:left="360"/>
        <w:jc w:val="both"/>
        <w:rPr>
          <w:sz w:val="22"/>
          <w:szCs w:val="22"/>
        </w:rPr>
      </w:pPr>
      <w:r>
        <w:rPr>
          <w:sz w:val="22"/>
          <w:szCs w:val="22"/>
        </w:rPr>
        <w:t xml:space="preserve">Il saldo al 31/12/2022 delle DISPONIBILITÀ LIQUIDE corrisponde con </w:t>
      </w:r>
      <w:r>
        <w:rPr>
          <w:sz w:val="22"/>
          <w:szCs w:val="22"/>
        </w:rPr>
        <w:t>le risultanze finali del conto del tesoriere. Si sono imputati i RATEI ATTIVI e RISCONTI ATTIVI calcolati nel rispetto del punto 6.4 del principio contabile applicato.</w:t>
      </w:r>
    </w:p>
    <w:p w14:paraId="42C7430E" w14:textId="77777777" w:rsidR="008F727D" w:rsidRDefault="008F727D">
      <w:pPr>
        <w:spacing w:line="312" w:lineRule="auto"/>
        <w:ind w:left="360"/>
        <w:jc w:val="both"/>
        <w:rPr>
          <w:sz w:val="22"/>
          <w:szCs w:val="22"/>
        </w:rPr>
      </w:pPr>
    </w:p>
    <w:p w14:paraId="71644786" w14:textId="77777777" w:rsidR="008F727D" w:rsidRDefault="00B71142">
      <w:pPr>
        <w:rPr>
          <w:sz w:val="22"/>
          <w:szCs w:val="22"/>
        </w:rPr>
      </w:pPr>
      <w:r>
        <w:rPr>
          <w:sz w:val="22"/>
          <w:szCs w:val="22"/>
        </w:rPr>
        <w:br w:type="page"/>
      </w:r>
    </w:p>
    <w:p w14:paraId="2F18DEE9" w14:textId="77777777" w:rsidR="008F727D" w:rsidRDefault="008F727D">
      <w:pPr>
        <w:spacing w:line="312" w:lineRule="auto"/>
        <w:ind w:left="360"/>
        <w:jc w:val="both"/>
        <w:rPr>
          <w:sz w:val="22"/>
          <w:szCs w:val="22"/>
        </w:rPr>
      </w:pPr>
    </w:p>
    <w:p w14:paraId="07B68E7C" w14:textId="4FC95967" w:rsidR="008F727D" w:rsidRPr="002B432A" w:rsidRDefault="00B71142" w:rsidP="002B432A">
      <w:pPr>
        <w:spacing w:line="312" w:lineRule="auto"/>
        <w:ind w:left="360"/>
        <w:jc w:val="both"/>
        <w:rPr>
          <w:rFonts w:ascii="Book Antiqua" w:hAnsi="Book Antiqua" w:cs="Arial"/>
          <w:sz w:val="22"/>
          <w:szCs w:val="22"/>
        </w:rPr>
      </w:pPr>
      <w:r>
        <w:rPr>
          <w:sz w:val="22"/>
          <w:szCs w:val="22"/>
        </w:rPr>
        <w:t>Per quanto riguarda lo Stato Patrimoniale passivo, il NETTO PATRIMONIALE</w:t>
      </w:r>
      <w:r>
        <w:rPr>
          <w:rFonts w:ascii="Book Antiqua" w:hAnsi="Book Antiqua" w:cs="Arial"/>
          <w:sz w:val="22"/>
          <w:szCs w:val="22"/>
        </w:rPr>
        <w:t xml:space="preserve"> evidenzia u</w:t>
      </w:r>
      <w:r>
        <w:rPr>
          <w:rFonts w:ascii="Book Antiqua" w:hAnsi="Book Antiqua" w:cs="Arial"/>
          <w:sz w:val="22"/>
          <w:szCs w:val="22"/>
        </w:rPr>
        <w:t>n patrimonio netto finale di €</w:t>
      </w:r>
      <w:r w:rsidR="002B432A">
        <w:rPr>
          <w:rFonts w:ascii="Book Antiqua" w:hAnsi="Book Antiqua" w:cs="Arial"/>
          <w:sz w:val="22"/>
          <w:szCs w:val="22"/>
        </w:rPr>
        <w:t xml:space="preserve"> </w:t>
      </w:r>
      <w:r w:rsidR="002B432A" w:rsidRPr="002B432A">
        <w:rPr>
          <w:rFonts w:ascii="Book Antiqua" w:hAnsi="Book Antiqua" w:cs="Arial"/>
          <w:sz w:val="22"/>
          <w:szCs w:val="22"/>
        </w:rPr>
        <w:t>452.868,58</w:t>
      </w:r>
      <w:r>
        <w:rPr>
          <w:rFonts w:ascii="Book Antiqua" w:hAnsi="Book Antiqua" w:cs="Arial"/>
          <w:sz w:val="22"/>
          <w:szCs w:val="22"/>
        </w:rPr>
        <w:t xml:space="preserve">, </w:t>
      </w:r>
      <w:r w:rsidRPr="002B432A">
        <w:rPr>
          <w:sz w:val="22"/>
          <w:szCs w:val="22"/>
        </w:rPr>
        <w:t>inferiore d</w:t>
      </w:r>
      <w:r>
        <w:rPr>
          <w:rFonts w:ascii="Book Antiqua" w:hAnsi="Book Antiqua" w:cs="Arial"/>
          <w:sz w:val="22"/>
          <w:szCs w:val="22"/>
        </w:rPr>
        <w:t xml:space="preserve">i </w:t>
      </w:r>
      <w:r w:rsidR="002B432A">
        <w:rPr>
          <w:rFonts w:ascii="Book Antiqua" w:hAnsi="Book Antiqua" w:cs="Arial"/>
          <w:sz w:val="22"/>
          <w:szCs w:val="22"/>
        </w:rPr>
        <w:t xml:space="preserve">- </w:t>
      </w:r>
      <w:r>
        <w:rPr>
          <w:rFonts w:ascii="Book Antiqua" w:hAnsi="Book Antiqua" w:cs="Arial"/>
          <w:sz w:val="22"/>
          <w:szCs w:val="22"/>
        </w:rPr>
        <w:t xml:space="preserve">€ </w:t>
      </w:r>
      <w:r w:rsidR="002B432A" w:rsidRPr="002B432A">
        <w:rPr>
          <w:rFonts w:ascii="Book Antiqua" w:hAnsi="Book Antiqua" w:cs="Arial"/>
          <w:sz w:val="22"/>
          <w:szCs w:val="22"/>
        </w:rPr>
        <w:t>1.936.375,41</w:t>
      </w:r>
      <w:r>
        <w:rPr>
          <w:rFonts w:ascii="Book Antiqua" w:hAnsi="Book Antiqua" w:cs="Arial"/>
          <w:sz w:val="22"/>
          <w:szCs w:val="22"/>
        </w:rPr>
        <w:t>, rispetto a quello del 2021, con una variazione corrispondente</w:t>
      </w:r>
      <w:r w:rsidR="002B432A">
        <w:rPr>
          <w:rFonts w:ascii="Book Antiqua" w:hAnsi="Book Antiqua" w:cs="Arial"/>
          <w:sz w:val="22"/>
          <w:szCs w:val="22"/>
        </w:rPr>
        <w:t xml:space="preserve"> esattamente</w:t>
      </w:r>
      <w:r>
        <w:rPr>
          <w:rFonts w:ascii="Book Antiqua" w:hAnsi="Book Antiqua" w:cs="Arial"/>
          <w:sz w:val="22"/>
          <w:szCs w:val="22"/>
        </w:rPr>
        <w:t xml:space="preserve"> a</w:t>
      </w:r>
      <w:r w:rsidR="002B432A">
        <w:rPr>
          <w:rFonts w:ascii="Book Antiqua" w:hAnsi="Book Antiqua" w:cs="Arial"/>
          <w:sz w:val="22"/>
          <w:szCs w:val="22"/>
        </w:rPr>
        <w:t xml:space="preserve">l </w:t>
      </w:r>
      <w:r w:rsidRPr="002B432A">
        <w:rPr>
          <w:rFonts w:ascii="Book Antiqua" w:hAnsi="Book Antiqua" w:cs="Arial"/>
          <w:sz w:val="22"/>
          <w:szCs w:val="22"/>
        </w:rPr>
        <w:t>Risultato economico di esercizio 202</w:t>
      </w:r>
      <w:r w:rsidR="002B432A">
        <w:rPr>
          <w:rFonts w:ascii="Book Antiqua" w:hAnsi="Book Antiqua" w:cs="Arial"/>
          <w:sz w:val="22"/>
          <w:szCs w:val="22"/>
        </w:rPr>
        <w:t>2.</w:t>
      </w:r>
    </w:p>
    <w:p w14:paraId="40BC68A0" w14:textId="596BCB8F"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Lo Stato Patrimoniale è stato predisposto secondo lo schema definito dal paragrafo “6.3 Patrimonio Netto” del principio contabile Allegato 4 / 3 al D.Lgs. 118/2011, così come modificato dal DM 01/09/2021 e la seguente tabella illustra la movimentazione del</w:t>
      </w:r>
      <w:r>
        <w:rPr>
          <w:rFonts w:ascii="Book Antiqua" w:hAnsi="Book Antiqua" w:cs="Arial"/>
          <w:sz w:val="22"/>
          <w:szCs w:val="22"/>
        </w:rPr>
        <w:t xml:space="preserve"> patrimonio netto, raffrontando il patrimonio netto iniziale e finale, entrambi riclassificati secondo il nuovo schema:</w:t>
      </w:r>
    </w:p>
    <w:p w14:paraId="170688DC" w14:textId="77777777" w:rsidR="008F727D" w:rsidRDefault="008F727D">
      <w:pPr>
        <w:spacing w:line="312" w:lineRule="auto"/>
        <w:jc w:val="both"/>
        <w:rPr>
          <w:rFonts w:ascii="Book Antiqua" w:hAnsi="Book Antiqua" w:cs="Arial"/>
          <w:sz w:val="22"/>
          <w:szCs w:val="22"/>
        </w:rPr>
      </w:pPr>
    </w:p>
    <w:tbl>
      <w:tblPr>
        <w:tblW w:w="9240" w:type="dxa"/>
        <w:jc w:val="center"/>
        <w:tblCellMar>
          <w:left w:w="70" w:type="dxa"/>
          <w:right w:w="70" w:type="dxa"/>
        </w:tblCellMar>
        <w:tblLook w:val="04A0" w:firstRow="1" w:lastRow="0" w:firstColumn="1" w:lastColumn="0" w:noHBand="0" w:noVBand="1"/>
      </w:tblPr>
      <w:tblGrid>
        <w:gridCol w:w="265"/>
        <w:gridCol w:w="256"/>
        <w:gridCol w:w="236"/>
        <w:gridCol w:w="4268"/>
        <w:gridCol w:w="1419"/>
        <w:gridCol w:w="1426"/>
        <w:gridCol w:w="1427"/>
      </w:tblGrid>
      <w:tr w:rsidR="002B432A" w:rsidRPr="002B432A" w14:paraId="3E15485B" w14:textId="77777777" w:rsidTr="002B432A">
        <w:trPr>
          <w:trHeight w:val="300"/>
          <w:jc w:val="center"/>
        </w:trPr>
        <w:tc>
          <w:tcPr>
            <w:tcW w:w="228" w:type="dxa"/>
            <w:tcBorders>
              <w:top w:val="double" w:sz="6" w:space="0" w:color="auto"/>
              <w:left w:val="double" w:sz="6" w:space="0" w:color="auto"/>
              <w:bottom w:val="nil"/>
              <w:right w:val="nil"/>
            </w:tcBorders>
            <w:shd w:val="clear" w:color="auto" w:fill="auto"/>
            <w:noWrap/>
            <w:vAlign w:val="bottom"/>
            <w:hideMark/>
          </w:tcPr>
          <w:p w14:paraId="1DECC05A"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double" w:sz="6" w:space="0" w:color="auto"/>
              <w:left w:val="nil"/>
              <w:bottom w:val="nil"/>
              <w:right w:val="nil"/>
            </w:tcBorders>
            <w:shd w:val="clear" w:color="auto" w:fill="auto"/>
            <w:noWrap/>
            <w:vAlign w:val="bottom"/>
            <w:hideMark/>
          </w:tcPr>
          <w:p w14:paraId="1E9C0574"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double" w:sz="6" w:space="0" w:color="auto"/>
              <w:left w:val="nil"/>
              <w:bottom w:val="nil"/>
              <w:right w:val="nil"/>
            </w:tcBorders>
            <w:shd w:val="clear" w:color="auto" w:fill="auto"/>
            <w:noWrap/>
            <w:vAlign w:val="bottom"/>
            <w:hideMark/>
          </w:tcPr>
          <w:p w14:paraId="6289F4ED"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vMerge w:val="restart"/>
            <w:tcBorders>
              <w:top w:val="double" w:sz="6" w:space="0" w:color="auto"/>
              <w:left w:val="nil"/>
              <w:bottom w:val="double" w:sz="6" w:space="0" w:color="000000"/>
              <w:right w:val="single" w:sz="8" w:space="0" w:color="auto"/>
            </w:tcBorders>
            <w:shd w:val="clear" w:color="auto" w:fill="auto"/>
            <w:noWrap/>
            <w:vAlign w:val="center"/>
            <w:hideMark/>
          </w:tcPr>
          <w:p w14:paraId="6186145E" w14:textId="77777777" w:rsidR="002B432A" w:rsidRPr="002B432A" w:rsidRDefault="002B432A" w:rsidP="002B432A">
            <w:pPr>
              <w:jc w:val="center"/>
              <w:rPr>
                <w:rFonts w:ascii="Calibri" w:hAnsi="Calibri" w:cs="Calibri"/>
                <w:b/>
                <w:bCs/>
                <w:sz w:val="22"/>
                <w:szCs w:val="22"/>
              </w:rPr>
            </w:pPr>
            <w:r w:rsidRPr="002B432A">
              <w:rPr>
                <w:rFonts w:ascii="Calibri" w:hAnsi="Calibri" w:cs="Calibri"/>
                <w:b/>
                <w:bCs/>
                <w:sz w:val="22"/>
                <w:szCs w:val="22"/>
              </w:rPr>
              <w:t>STATO PATRIMONIALE (PASSIVO)</w:t>
            </w:r>
          </w:p>
        </w:tc>
        <w:tc>
          <w:tcPr>
            <w:tcW w:w="1419"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14:paraId="6FC8460B" w14:textId="77777777" w:rsidR="002B432A" w:rsidRPr="002B432A" w:rsidRDefault="002B432A" w:rsidP="002B432A">
            <w:pPr>
              <w:jc w:val="center"/>
              <w:rPr>
                <w:rFonts w:ascii="Arial" w:hAnsi="Arial" w:cs="Arial"/>
                <w:b/>
                <w:bCs/>
              </w:rPr>
            </w:pPr>
            <w:r w:rsidRPr="002B432A">
              <w:rPr>
                <w:rFonts w:ascii="Arial" w:hAnsi="Arial" w:cs="Arial"/>
                <w:b/>
                <w:bCs/>
              </w:rPr>
              <w:t>Esercizio 2021</w:t>
            </w:r>
          </w:p>
        </w:tc>
        <w:tc>
          <w:tcPr>
            <w:tcW w:w="1426"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14:paraId="71340369" w14:textId="77777777" w:rsidR="002B432A" w:rsidRPr="002B432A" w:rsidRDefault="002B432A" w:rsidP="002B432A">
            <w:pPr>
              <w:jc w:val="center"/>
              <w:rPr>
                <w:rFonts w:ascii="Arial" w:hAnsi="Arial" w:cs="Arial"/>
                <w:b/>
                <w:bCs/>
              </w:rPr>
            </w:pPr>
            <w:r w:rsidRPr="002B432A">
              <w:rPr>
                <w:rFonts w:ascii="Arial" w:hAnsi="Arial" w:cs="Arial"/>
                <w:b/>
                <w:bCs/>
              </w:rPr>
              <w:t>Esercizio 2022</w:t>
            </w:r>
          </w:p>
        </w:tc>
        <w:tc>
          <w:tcPr>
            <w:tcW w:w="1427" w:type="dxa"/>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14:paraId="7373D73E" w14:textId="77777777" w:rsidR="002B432A" w:rsidRPr="002B432A" w:rsidRDefault="002B432A" w:rsidP="002B432A">
            <w:pPr>
              <w:jc w:val="center"/>
              <w:rPr>
                <w:rFonts w:ascii="Arial" w:hAnsi="Arial" w:cs="Arial"/>
                <w:b/>
                <w:bCs/>
              </w:rPr>
            </w:pPr>
            <w:r w:rsidRPr="002B432A">
              <w:rPr>
                <w:rFonts w:ascii="Arial" w:hAnsi="Arial" w:cs="Arial"/>
                <w:b/>
                <w:bCs/>
              </w:rPr>
              <w:t>Variazione</w:t>
            </w:r>
          </w:p>
        </w:tc>
      </w:tr>
      <w:tr w:rsidR="002B432A" w:rsidRPr="002B432A" w14:paraId="67CE7A93" w14:textId="77777777" w:rsidTr="002B432A">
        <w:trPr>
          <w:trHeight w:val="300"/>
          <w:jc w:val="center"/>
        </w:trPr>
        <w:tc>
          <w:tcPr>
            <w:tcW w:w="228" w:type="dxa"/>
            <w:tcBorders>
              <w:top w:val="nil"/>
              <w:left w:val="double" w:sz="6" w:space="0" w:color="auto"/>
              <w:bottom w:val="double" w:sz="6" w:space="0" w:color="auto"/>
              <w:right w:val="nil"/>
            </w:tcBorders>
            <w:shd w:val="clear" w:color="auto" w:fill="auto"/>
            <w:noWrap/>
            <w:vAlign w:val="bottom"/>
            <w:hideMark/>
          </w:tcPr>
          <w:p w14:paraId="51859503"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14:paraId="0CB278A6"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14:paraId="35CB22A4"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vMerge/>
            <w:tcBorders>
              <w:top w:val="double" w:sz="6" w:space="0" w:color="auto"/>
              <w:left w:val="nil"/>
              <w:bottom w:val="double" w:sz="6" w:space="0" w:color="000000"/>
              <w:right w:val="single" w:sz="8" w:space="0" w:color="auto"/>
            </w:tcBorders>
            <w:vAlign w:val="center"/>
            <w:hideMark/>
          </w:tcPr>
          <w:p w14:paraId="4CFCB91B" w14:textId="77777777" w:rsidR="002B432A" w:rsidRPr="002B432A" w:rsidRDefault="002B432A" w:rsidP="002B432A">
            <w:pPr>
              <w:rPr>
                <w:rFonts w:ascii="Calibri" w:hAnsi="Calibri" w:cs="Calibri"/>
                <w:b/>
                <w:bCs/>
                <w:sz w:val="22"/>
                <w:szCs w:val="22"/>
              </w:rPr>
            </w:pPr>
          </w:p>
        </w:tc>
        <w:tc>
          <w:tcPr>
            <w:tcW w:w="1419" w:type="dxa"/>
            <w:vMerge/>
            <w:tcBorders>
              <w:top w:val="double" w:sz="6" w:space="0" w:color="auto"/>
              <w:left w:val="single" w:sz="4" w:space="0" w:color="auto"/>
              <w:bottom w:val="double" w:sz="6" w:space="0" w:color="000000"/>
              <w:right w:val="double" w:sz="6" w:space="0" w:color="auto"/>
            </w:tcBorders>
            <w:vAlign w:val="center"/>
            <w:hideMark/>
          </w:tcPr>
          <w:p w14:paraId="16561E3F" w14:textId="77777777" w:rsidR="002B432A" w:rsidRPr="002B432A" w:rsidRDefault="002B432A" w:rsidP="002B432A">
            <w:pPr>
              <w:rPr>
                <w:rFonts w:ascii="Arial" w:hAnsi="Arial" w:cs="Arial"/>
                <w:b/>
                <w:bCs/>
              </w:rPr>
            </w:pPr>
          </w:p>
        </w:tc>
        <w:tc>
          <w:tcPr>
            <w:tcW w:w="1426" w:type="dxa"/>
            <w:vMerge/>
            <w:tcBorders>
              <w:top w:val="double" w:sz="6" w:space="0" w:color="auto"/>
              <w:left w:val="single" w:sz="4" w:space="0" w:color="auto"/>
              <w:bottom w:val="double" w:sz="6" w:space="0" w:color="000000"/>
              <w:right w:val="double" w:sz="6" w:space="0" w:color="auto"/>
            </w:tcBorders>
            <w:vAlign w:val="center"/>
            <w:hideMark/>
          </w:tcPr>
          <w:p w14:paraId="00D31DC6" w14:textId="77777777" w:rsidR="002B432A" w:rsidRPr="002B432A" w:rsidRDefault="002B432A" w:rsidP="002B432A">
            <w:pPr>
              <w:rPr>
                <w:rFonts w:ascii="Arial" w:hAnsi="Arial" w:cs="Arial"/>
                <w:b/>
                <w:bCs/>
              </w:rPr>
            </w:pPr>
          </w:p>
        </w:tc>
        <w:tc>
          <w:tcPr>
            <w:tcW w:w="1427" w:type="dxa"/>
            <w:vMerge/>
            <w:tcBorders>
              <w:top w:val="double" w:sz="6" w:space="0" w:color="auto"/>
              <w:left w:val="single" w:sz="4" w:space="0" w:color="auto"/>
              <w:bottom w:val="double" w:sz="6" w:space="0" w:color="000000"/>
              <w:right w:val="double" w:sz="6" w:space="0" w:color="auto"/>
            </w:tcBorders>
            <w:vAlign w:val="center"/>
            <w:hideMark/>
          </w:tcPr>
          <w:p w14:paraId="3E29E1F6" w14:textId="77777777" w:rsidR="002B432A" w:rsidRPr="002B432A" w:rsidRDefault="002B432A" w:rsidP="002B432A">
            <w:pPr>
              <w:rPr>
                <w:rFonts w:ascii="Arial" w:hAnsi="Arial" w:cs="Arial"/>
                <w:b/>
                <w:bCs/>
              </w:rPr>
            </w:pPr>
          </w:p>
        </w:tc>
      </w:tr>
      <w:tr w:rsidR="002B432A" w:rsidRPr="002B432A" w14:paraId="7C96DADB" w14:textId="77777777" w:rsidTr="002B432A">
        <w:trPr>
          <w:trHeight w:val="300"/>
          <w:jc w:val="center"/>
        </w:trPr>
        <w:tc>
          <w:tcPr>
            <w:tcW w:w="228" w:type="dxa"/>
            <w:tcBorders>
              <w:top w:val="nil"/>
              <w:left w:val="double" w:sz="6" w:space="0" w:color="auto"/>
              <w:bottom w:val="nil"/>
              <w:right w:val="nil"/>
            </w:tcBorders>
            <w:shd w:val="clear" w:color="auto" w:fill="auto"/>
            <w:noWrap/>
            <w:vAlign w:val="bottom"/>
            <w:hideMark/>
          </w:tcPr>
          <w:p w14:paraId="7741476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1E5CE069"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double" w:sz="6" w:space="0" w:color="auto"/>
              <w:left w:val="nil"/>
              <w:bottom w:val="nil"/>
              <w:right w:val="single" w:sz="4" w:space="0" w:color="auto"/>
            </w:tcBorders>
            <w:shd w:val="clear" w:color="auto" w:fill="auto"/>
            <w:noWrap/>
            <w:vAlign w:val="bottom"/>
            <w:hideMark/>
          </w:tcPr>
          <w:p w14:paraId="6C19D337"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nil"/>
              <w:bottom w:val="nil"/>
              <w:right w:val="single" w:sz="4" w:space="0" w:color="auto"/>
            </w:tcBorders>
            <w:shd w:val="clear" w:color="auto" w:fill="auto"/>
            <w:noWrap/>
            <w:vAlign w:val="bottom"/>
            <w:hideMark/>
          </w:tcPr>
          <w:p w14:paraId="35C8D23A" w14:textId="77777777" w:rsidR="002B432A" w:rsidRPr="002B432A" w:rsidRDefault="002B432A" w:rsidP="002B432A">
            <w:pPr>
              <w:rPr>
                <w:rFonts w:ascii="Calibri" w:hAnsi="Calibri" w:cs="Calibri"/>
                <w:b/>
                <w:bCs/>
                <w:sz w:val="22"/>
                <w:szCs w:val="22"/>
              </w:rPr>
            </w:pPr>
            <w:r w:rsidRPr="002B432A">
              <w:rPr>
                <w:rFonts w:ascii="Calibri" w:hAnsi="Calibri" w:cs="Calibri"/>
                <w:b/>
                <w:bCs/>
                <w:sz w:val="22"/>
                <w:szCs w:val="22"/>
              </w:rPr>
              <w:t>A) PATRIMONIO NETTO</w:t>
            </w:r>
          </w:p>
        </w:tc>
        <w:tc>
          <w:tcPr>
            <w:tcW w:w="1419" w:type="dxa"/>
            <w:tcBorders>
              <w:top w:val="nil"/>
              <w:left w:val="nil"/>
              <w:bottom w:val="nil"/>
              <w:right w:val="double" w:sz="6" w:space="0" w:color="auto"/>
            </w:tcBorders>
            <w:shd w:val="clear" w:color="auto" w:fill="auto"/>
            <w:noWrap/>
            <w:vAlign w:val="bottom"/>
            <w:hideMark/>
          </w:tcPr>
          <w:p w14:paraId="7435CE9D" w14:textId="77777777" w:rsidR="002B432A" w:rsidRPr="002B432A" w:rsidRDefault="002B432A" w:rsidP="002B432A">
            <w:pPr>
              <w:rPr>
                <w:rFonts w:ascii="Calibri" w:hAnsi="Calibri" w:cs="Calibri"/>
                <w:b/>
                <w:bCs/>
                <w:sz w:val="22"/>
                <w:szCs w:val="22"/>
              </w:rPr>
            </w:pPr>
            <w:r w:rsidRPr="002B432A">
              <w:rPr>
                <w:rFonts w:ascii="Calibri" w:hAnsi="Calibri" w:cs="Calibri"/>
                <w:b/>
                <w:bCs/>
                <w:sz w:val="22"/>
                <w:szCs w:val="22"/>
              </w:rPr>
              <w:t> </w:t>
            </w:r>
          </w:p>
        </w:tc>
        <w:tc>
          <w:tcPr>
            <w:tcW w:w="1426" w:type="dxa"/>
            <w:tcBorders>
              <w:top w:val="nil"/>
              <w:left w:val="nil"/>
              <w:bottom w:val="nil"/>
              <w:right w:val="double" w:sz="6" w:space="0" w:color="auto"/>
            </w:tcBorders>
            <w:shd w:val="clear" w:color="auto" w:fill="auto"/>
            <w:noWrap/>
            <w:vAlign w:val="bottom"/>
            <w:hideMark/>
          </w:tcPr>
          <w:p w14:paraId="4F444B2E" w14:textId="77777777" w:rsidR="002B432A" w:rsidRPr="002B432A" w:rsidRDefault="002B432A" w:rsidP="002B432A">
            <w:pPr>
              <w:rPr>
                <w:rFonts w:ascii="Calibri" w:hAnsi="Calibri" w:cs="Calibri"/>
                <w:b/>
                <w:bCs/>
                <w:sz w:val="22"/>
                <w:szCs w:val="22"/>
              </w:rPr>
            </w:pPr>
            <w:r w:rsidRPr="002B432A">
              <w:rPr>
                <w:rFonts w:ascii="Calibri" w:hAnsi="Calibri" w:cs="Calibri"/>
                <w:b/>
                <w:bCs/>
                <w:sz w:val="22"/>
                <w:szCs w:val="22"/>
              </w:rPr>
              <w:t> </w:t>
            </w:r>
          </w:p>
        </w:tc>
        <w:tc>
          <w:tcPr>
            <w:tcW w:w="1427" w:type="dxa"/>
            <w:tcBorders>
              <w:top w:val="nil"/>
              <w:left w:val="nil"/>
              <w:bottom w:val="nil"/>
              <w:right w:val="double" w:sz="6" w:space="0" w:color="auto"/>
            </w:tcBorders>
            <w:shd w:val="clear" w:color="auto" w:fill="auto"/>
            <w:noWrap/>
            <w:vAlign w:val="bottom"/>
            <w:hideMark/>
          </w:tcPr>
          <w:p w14:paraId="0A04FE27" w14:textId="77777777" w:rsidR="002B432A" w:rsidRPr="002B432A" w:rsidRDefault="002B432A" w:rsidP="002B432A">
            <w:pPr>
              <w:rPr>
                <w:rFonts w:ascii="Calibri" w:hAnsi="Calibri" w:cs="Calibri"/>
                <w:b/>
                <w:bCs/>
                <w:sz w:val="22"/>
                <w:szCs w:val="22"/>
              </w:rPr>
            </w:pPr>
            <w:r w:rsidRPr="002B432A">
              <w:rPr>
                <w:rFonts w:ascii="Calibri" w:hAnsi="Calibri" w:cs="Calibri"/>
                <w:b/>
                <w:bCs/>
                <w:sz w:val="22"/>
                <w:szCs w:val="22"/>
              </w:rPr>
              <w:t> </w:t>
            </w:r>
          </w:p>
        </w:tc>
      </w:tr>
      <w:tr w:rsidR="002B432A" w:rsidRPr="002B432A" w14:paraId="16DBFE7C"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425708B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I</w:t>
            </w:r>
          </w:p>
        </w:tc>
        <w:tc>
          <w:tcPr>
            <w:tcW w:w="236" w:type="dxa"/>
            <w:tcBorders>
              <w:top w:val="nil"/>
              <w:left w:val="nil"/>
              <w:bottom w:val="nil"/>
              <w:right w:val="nil"/>
            </w:tcBorders>
            <w:shd w:val="clear" w:color="auto" w:fill="auto"/>
            <w:noWrap/>
            <w:vAlign w:val="bottom"/>
            <w:hideMark/>
          </w:tcPr>
          <w:p w14:paraId="1FF5D90E" w14:textId="77777777" w:rsidR="002B432A" w:rsidRPr="002B432A" w:rsidRDefault="002B432A" w:rsidP="002B432A">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14:paraId="3594A4A2"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227CBDAF"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Fondo di dotazione</w:t>
            </w:r>
          </w:p>
        </w:tc>
        <w:tc>
          <w:tcPr>
            <w:tcW w:w="1419" w:type="dxa"/>
            <w:tcBorders>
              <w:top w:val="nil"/>
              <w:left w:val="nil"/>
              <w:bottom w:val="nil"/>
              <w:right w:val="double" w:sz="6" w:space="0" w:color="auto"/>
            </w:tcBorders>
            <w:shd w:val="clear" w:color="auto" w:fill="auto"/>
            <w:noWrap/>
            <w:vAlign w:val="bottom"/>
            <w:hideMark/>
          </w:tcPr>
          <w:p w14:paraId="2685AC75"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7135BBB9"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356FA364"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1ED0DC64"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10BE95A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II</w:t>
            </w:r>
          </w:p>
        </w:tc>
        <w:tc>
          <w:tcPr>
            <w:tcW w:w="236" w:type="dxa"/>
            <w:tcBorders>
              <w:top w:val="nil"/>
              <w:left w:val="nil"/>
              <w:bottom w:val="nil"/>
              <w:right w:val="nil"/>
            </w:tcBorders>
            <w:shd w:val="clear" w:color="auto" w:fill="auto"/>
            <w:noWrap/>
            <w:vAlign w:val="bottom"/>
            <w:hideMark/>
          </w:tcPr>
          <w:p w14:paraId="7A7F9010" w14:textId="77777777" w:rsidR="002B432A" w:rsidRPr="002B432A" w:rsidRDefault="002B432A" w:rsidP="002B432A">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14:paraId="0AC6ADB4"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0302777C"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xml:space="preserve">Riserve </w:t>
            </w:r>
          </w:p>
        </w:tc>
        <w:tc>
          <w:tcPr>
            <w:tcW w:w="1419" w:type="dxa"/>
            <w:tcBorders>
              <w:top w:val="nil"/>
              <w:left w:val="nil"/>
              <w:bottom w:val="nil"/>
              <w:right w:val="double" w:sz="6" w:space="0" w:color="auto"/>
            </w:tcBorders>
            <w:shd w:val="clear" w:color="auto" w:fill="auto"/>
            <w:noWrap/>
            <w:vAlign w:val="bottom"/>
            <w:hideMark/>
          </w:tcPr>
          <w:p w14:paraId="10AE8027"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1177232D"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228D3903"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sz w:val="22"/>
                <w:szCs w:val="22"/>
              </w:rPr>
              <w:t xml:space="preserve">0,00 </w:t>
            </w:r>
          </w:p>
        </w:tc>
      </w:tr>
      <w:tr w:rsidR="002B432A" w:rsidRPr="002B432A" w14:paraId="67575C27"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4DA3B9ED"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1D208B8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b</w:t>
            </w:r>
          </w:p>
        </w:tc>
        <w:tc>
          <w:tcPr>
            <w:tcW w:w="236" w:type="dxa"/>
            <w:tcBorders>
              <w:top w:val="nil"/>
              <w:left w:val="nil"/>
              <w:bottom w:val="nil"/>
              <w:right w:val="single" w:sz="4" w:space="0" w:color="auto"/>
            </w:tcBorders>
            <w:shd w:val="clear" w:color="auto" w:fill="auto"/>
            <w:noWrap/>
            <w:vAlign w:val="bottom"/>
            <w:hideMark/>
          </w:tcPr>
          <w:p w14:paraId="04953FAB"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6CB82822" w14:textId="77777777" w:rsidR="002B432A" w:rsidRPr="002B432A" w:rsidRDefault="002B432A" w:rsidP="002B432A">
            <w:pPr>
              <w:rPr>
                <w:rFonts w:ascii="Calibri" w:hAnsi="Calibri" w:cs="Calibri"/>
                <w:i/>
                <w:iCs/>
                <w:sz w:val="22"/>
                <w:szCs w:val="22"/>
              </w:rPr>
            </w:pPr>
            <w:r w:rsidRPr="002B432A">
              <w:rPr>
                <w:rFonts w:ascii="Calibri" w:hAnsi="Calibri" w:cs="Calibri"/>
                <w:i/>
                <w:iCs/>
                <w:sz w:val="22"/>
                <w:szCs w:val="22"/>
              </w:rPr>
              <w:t>da capitale</w:t>
            </w:r>
          </w:p>
        </w:tc>
        <w:tc>
          <w:tcPr>
            <w:tcW w:w="1419" w:type="dxa"/>
            <w:tcBorders>
              <w:top w:val="nil"/>
              <w:left w:val="nil"/>
              <w:bottom w:val="nil"/>
              <w:right w:val="double" w:sz="6" w:space="0" w:color="auto"/>
            </w:tcBorders>
            <w:shd w:val="clear" w:color="auto" w:fill="auto"/>
            <w:noWrap/>
            <w:vAlign w:val="bottom"/>
            <w:hideMark/>
          </w:tcPr>
          <w:p w14:paraId="6FE89636"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48D78B2E"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10033D67"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5EF758F1"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1D7725CD"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7EF1F6F2"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c</w:t>
            </w:r>
          </w:p>
        </w:tc>
        <w:tc>
          <w:tcPr>
            <w:tcW w:w="236" w:type="dxa"/>
            <w:tcBorders>
              <w:top w:val="nil"/>
              <w:left w:val="nil"/>
              <w:bottom w:val="nil"/>
              <w:right w:val="single" w:sz="4" w:space="0" w:color="auto"/>
            </w:tcBorders>
            <w:shd w:val="clear" w:color="auto" w:fill="auto"/>
            <w:noWrap/>
            <w:vAlign w:val="bottom"/>
            <w:hideMark/>
          </w:tcPr>
          <w:p w14:paraId="239B9B13"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2398F6CE" w14:textId="77777777" w:rsidR="002B432A" w:rsidRPr="002B432A" w:rsidRDefault="002B432A" w:rsidP="002B432A">
            <w:pPr>
              <w:rPr>
                <w:rFonts w:ascii="Calibri" w:hAnsi="Calibri" w:cs="Calibri"/>
                <w:i/>
                <w:iCs/>
                <w:sz w:val="22"/>
                <w:szCs w:val="22"/>
              </w:rPr>
            </w:pPr>
            <w:r w:rsidRPr="002B432A">
              <w:rPr>
                <w:rFonts w:ascii="Calibri" w:hAnsi="Calibri" w:cs="Calibri"/>
                <w:i/>
                <w:iCs/>
                <w:sz w:val="22"/>
                <w:szCs w:val="22"/>
              </w:rPr>
              <w:t>da permessi di costruire</w:t>
            </w:r>
          </w:p>
        </w:tc>
        <w:tc>
          <w:tcPr>
            <w:tcW w:w="1419" w:type="dxa"/>
            <w:tcBorders>
              <w:top w:val="nil"/>
              <w:left w:val="nil"/>
              <w:bottom w:val="nil"/>
              <w:right w:val="double" w:sz="6" w:space="0" w:color="auto"/>
            </w:tcBorders>
            <w:shd w:val="clear" w:color="auto" w:fill="auto"/>
            <w:noWrap/>
            <w:vAlign w:val="bottom"/>
            <w:hideMark/>
          </w:tcPr>
          <w:p w14:paraId="3E40FA94"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5DD9CD04"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079AF6B6"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6F2D9394" w14:textId="77777777" w:rsidTr="002B432A">
        <w:trPr>
          <w:trHeight w:val="580"/>
          <w:jc w:val="center"/>
        </w:trPr>
        <w:tc>
          <w:tcPr>
            <w:tcW w:w="228" w:type="dxa"/>
            <w:tcBorders>
              <w:top w:val="nil"/>
              <w:left w:val="double" w:sz="6" w:space="0" w:color="auto"/>
              <w:bottom w:val="nil"/>
              <w:right w:val="nil"/>
            </w:tcBorders>
            <w:shd w:val="clear" w:color="auto" w:fill="auto"/>
            <w:noWrap/>
            <w:vAlign w:val="bottom"/>
            <w:hideMark/>
          </w:tcPr>
          <w:p w14:paraId="521BF190"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150EFD41"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d</w:t>
            </w:r>
          </w:p>
        </w:tc>
        <w:tc>
          <w:tcPr>
            <w:tcW w:w="236" w:type="dxa"/>
            <w:tcBorders>
              <w:top w:val="nil"/>
              <w:left w:val="nil"/>
              <w:bottom w:val="nil"/>
              <w:right w:val="single" w:sz="4" w:space="0" w:color="auto"/>
            </w:tcBorders>
            <w:shd w:val="clear" w:color="auto" w:fill="auto"/>
            <w:noWrap/>
            <w:vAlign w:val="bottom"/>
            <w:hideMark/>
          </w:tcPr>
          <w:p w14:paraId="7B165537"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22D01E70" w14:textId="77777777" w:rsidR="002B432A" w:rsidRPr="002B432A" w:rsidRDefault="002B432A" w:rsidP="002B432A">
            <w:pPr>
              <w:rPr>
                <w:rFonts w:ascii="Calibri" w:hAnsi="Calibri" w:cs="Calibri"/>
                <w:i/>
                <w:iCs/>
                <w:sz w:val="22"/>
                <w:szCs w:val="22"/>
              </w:rPr>
            </w:pPr>
            <w:r w:rsidRPr="002B432A">
              <w:rPr>
                <w:rFonts w:ascii="Calibri" w:hAnsi="Calibri" w:cs="Calibri"/>
                <w:i/>
                <w:iCs/>
                <w:sz w:val="22"/>
                <w:szCs w:val="22"/>
              </w:rPr>
              <w:t>riserve indisponibili per beni demaniali e patrimoniali indisponibili e per i beni culturali</w:t>
            </w:r>
          </w:p>
        </w:tc>
        <w:tc>
          <w:tcPr>
            <w:tcW w:w="1419" w:type="dxa"/>
            <w:tcBorders>
              <w:top w:val="nil"/>
              <w:left w:val="nil"/>
              <w:bottom w:val="nil"/>
              <w:right w:val="double" w:sz="6" w:space="0" w:color="auto"/>
            </w:tcBorders>
            <w:shd w:val="clear" w:color="auto" w:fill="auto"/>
            <w:noWrap/>
            <w:vAlign w:val="bottom"/>
            <w:hideMark/>
          </w:tcPr>
          <w:p w14:paraId="252C611E"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329678BE"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51A2D761"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48364F22"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428391D2"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4C7E0546"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e</w:t>
            </w:r>
          </w:p>
        </w:tc>
        <w:tc>
          <w:tcPr>
            <w:tcW w:w="236" w:type="dxa"/>
            <w:tcBorders>
              <w:top w:val="nil"/>
              <w:left w:val="nil"/>
              <w:bottom w:val="nil"/>
              <w:right w:val="single" w:sz="4" w:space="0" w:color="auto"/>
            </w:tcBorders>
            <w:shd w:val="clear" w:color="auto" w:fill="auto"/>
            <w:noWrap/>
            <w:vAlign w:val="bottom"/>
            <w:hideMark/>
          </w:tcPr>
          <w:p w14:paraId="199D1C0F"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3B4A25D2" w14:textId="77777777" w:rsidR="002B432A" w:rsidRPr="002B432A" w:rsidRDefault="002B432A" w:rsidP="002B432A">
            <w:pPr>
              <w:rPr>
                <w:rFonts w:ascii="Calibri" w:hAnsi="Calibri" w:cs="Calibri"/>
                <w:i/>
                <w:iCs/>
                <w:sz w:val="22"/>
                <w:szCs w:val="22"/>
              </w:rPr>
            </w:pPr>
            <w:r w:rsidRPr="002B432A">
              <w:rPr>
                <w:rFonts w:ascii="Calibri" w:hAnsi="Calibri" w:cs="Calibri"/>
                <w:i/>
                <w:iCs/>
                <w:sz w:val="22"/>
                <w:szCs w:val="22"/>
              </w:rPr>
              <w:t>altre riserve indisponibili</w:t>
            </w:r>
          </w:p>
        </w:tc>
        <w:tc>
          <w:tcPr>
            <w:tcW w:w="1419" w:type="dxa"/>
            <w:tcBorders>
              <w:top w:val="nil"/>
              <w:left w:val="nil"/>
              <w:bottom w:val="nil"/>
              <w:right w:val="double" w:sz="6" w:space="0" w:color="auto"/>
            </w:tcBorders>
            <w:shd w:val="clear" w:color="auto" w:fill="auto"/>
            <w:noWrap/>
            <w:vAlign w:val="bottom"/>
            <w:hideMark/>
          </w:tcPr>
          <w:p w14:paraId="2699AFE0"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70FCDBE5"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2F8CD0E3"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6B1341AC"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6686ADCE"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57C6AB99"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f</w:t>
            </w:r>
          </w:p>
        </w:tc>
        <w:tc>
          <w:tcPr>
            <w:tcW w:w="236" w:type="dxa"/>
            <w:tcBorders>
              <w:top w:val="nil"/>
              <w:left w:val="nil"/>
              <w:bottom w:val="nil"/>
              <w:right w:val="single" w:sz="4" w:space="0" w:color="auto"/>
            </w:tcBorders>
            <w:shd w:val="clear" w:color="auto" w:fill="auto"/>
            <w:noWrap/>
            <w:vAlign w:val="bottom"/>
            <w:hideMark/>
          </w:tcPr>
          <w:p w14:paraId="7BB1FEC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7687C4DF" w14:textId="77777777" w:rsidR="002B432A" w:rsidRPr="002B432A" w:rsidRDefault="002B432A" w:rsidP="002B432A">
            <w:pPr>
              <w:rPr>
                <w:rFonts w:ascii="Calibri" w:hAnsi="Calibri" w:cs="Calibri"/>
                <w:i/>
                <w:iCs/>
                <w:sz w:val="22"/>
                <w:szCs w:val="22"/>
              </w:rPr>
            </w:pPr>
            <w:r w:rsidRPr="002B432A">
              <w:rPr>
                <w:rFonts w:ascii="Calibri" w:hAnsi="Calibri" w:cs="Calibri"/>
                <w:i/>
                <w:iCs/>
                <w:sz w:val="22"/>
                <w:szCs w:val="22"/>
              </w:rPr>
              <w:t>altre riserve disponibili</w:t>
            </w:r>
          </w:p>
        </w:tc>
        <w:tc>
          <w:tcPr>
            <w:tcW w:w="1419" w:type="dxa"/>
            <w:tcBorders>
              <w:top w:val="nil"/>
              <w:left w:val="nil"/>
              <w:bottom w:val="nil"/>
              <w:right w:val="double" w:sz="6" w:space="0" w:color="auto"/>
            </w:tcBorders>
            <w:shd w:val="clear" w:color="auto" w:fill="auto"/>
            <w:noWrap/>
            <w:vAlign w:val="bottom"/>
            <w:hideMark/>
          </w:tcPr>
          <w:p w14:paraId="5198A236"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6793CD8D"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2C41958E"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701E9065" w14:textId="77777777" w:rsidTr="002B432A">
        <w:trPr>
          <w:trHeight w:val="290"/>
          <w:jc w:val="center"/>
        </w:trPr>
        <w:tc>
          <w:tcPr>
            <w:tcW w:w="464" w:type="dxa"/>
            <w:gridSpan w:val="2"/>
            <w:tcBorders>
              <w:top w:val="nil"/>
              <w:left w:val="double" w:sz="6" w:space="0" w:color="auto"/>
              <w:bottom w:val="nil"/>
              <w:right w:val="nil"/>
            </w:tcBorders>
            <w:shd w:val="clear" w:color="auto" w:fill="auto"/>
            <w:noWrap/>
            <w:vAlign w:val="bottom"/>
            <w:hideMark/>
          </w:tcPr>
          <w:p w14:paraId="5CCB6290"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III</w:t>
            </w:r>
          </w:p>
        </w:tc>
        <w:tc>
          <w:tcPr>
            <w:tcW w:w="236" w:type="dxa"/>
            <w:tcBorders>
              <w:top w:val="nil"/>
              <w:left w:val="nil"/>
              <w:bottom w:val="nil"/>
              <w:right w:val="single" w:sz="4" w:space="0" w:color="auto"/>
            </w:tcBorders>
            <w:shd w:val="clear" w:color="auto" w:fill="auto"/>
            <w:noWrap/>
            <w:vAlign w:val="bottom"/>
            <w:hideMark/>
          </w:tcPr>
          <w:p w14:paraId="01910A8E"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344E8DB4"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Risultato economico dell'esercizio</w:t>
            </w:r>
          </w:p>
        </w:tc>
        <w:tc>
          <w:tcPr>
            <w:tcW w:w="1419" w:type="dxa"/>
            <w:tcBorders>
              <w:top w:val="nil"/>
              <w:left w:val="nil"/>
              <w:bottom w:val="nil"/>
              <w:right w:val="double" w:sz="6" w:space="0" w:color="auto"/>
            </w:tcBorders>
            <w:shd w:val="clear" w:color="auto" w:fill="auto"/>
            <w:noWrap/>
            <w:vAlign w:val="bottom"/>
            <w:hideMark/>
          </w:tcPr>
          <w:p w14:paraId="449EFAFF"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2.320.488,22 </w:t>
            </w:r>
          </w:p>
        </w:tc>
        <w:tc>
          <w:tcPr>
            <w:tcW w:w="1426" w:type="dxa"/>
            <w:tcBorders>
              <w:top w:val="nil"/>
              <w:left w:val="nil"/>
              <w:bottom w:val="nil"/>
              <w:right w:val="double" w:sz="6" w:space="0" w:color="auto"/>
            </w:tcBorders>
            <w:shd w:val="clear" w:color="auto" w:fill="auto"/>
            <w:noWrap/>
            <w:vAlign w:val="bottom"/>
            <w:hideMark/>
          </w:tcPr>
          <w:p w14:paraId="220FEE5B"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FF0000"/>
                <w:sz w:val="22"/>
                <w:szCs w:val="22"/>
              </w:rPr>
              <w:t xml:space="preserve">-1.936.375,41 </w:t>
            </w:r>
          </w:p>
        </w:tc>
        <w:tc>
          <w:tcPr>
            <w:tcW w:w="1427" w:type="dxa"/>
            <w:tcBorders>
              <w:top w:val="nil"/>
              <w:left w:val="nil"/>
              <w:bottom w:val="nil"/>
              <w:right w:val="double" w:sz="6" w:space="0" w:color="auto"/>
            </w:tcBorders>
            <w:shd w:val="clear" w:color="auto" w:fill="auto"/>
            <w:noWrap/>
            <w:vAlign w:val="bottom"/>
            <w:hideMark/>
          </w:tcPr>
          <w:p w14:paraId="5837CF75"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FF0000"/>
                <w:sz w:val="22"/>
                <w:szCs w:val="22"/>
              </w:rPr>
              <w:t xml:space="preserve">-4.256.863,63 </w:t>
            </w:r>
          </w:p>
        </w:tc>
      </w:tr>
      <w:tr w:rsidR="002B432A" w:rsidRPr="002B432A" w14:paraId="667E00B3" w14:textId="77777777" w:rsidTr="002B432A">
        <w:trPr>
          <w:trHeight w:val="290"/>
          <w:jc w:val="center"/>
        </w:trPr>
        <w:tc>
          <w:tcPr>
            <w:tcW w:w="464" w:type="dxa"/>
            <w:gridSpan w:val="2"/>
            <w:tcBorders>
              <w:top w:val="nil"/>
              <w:left w:val="double" w:sz="6" w:space="0" w:color="auto"/>
              <w:bottom w:val="nil"/>
              <w:right w:val="nil"/>
            </w:tcBorders>
            <w:shd w:val="clear" w:color="auto" w:fill="auto"/>
            <w:noWrap/>
            <w:vAlign w:val="bottom"/>
            <w:hideMark/>
          </w:tcPr>
          <w:p w14:paraId="5F966B2D"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IV</w:t>
            </w:r>
          </w:p>
        </w:tc>
        <w:tc>
          <w:tcPr>
            <w:tcW w:w="236" w:type="dxa"/>
            <w:tcBorders>
              <w:top w:val="nil"/>
              <w:left w:val="nil"/>
              <w:bottom w:val="nil"/>
              <w:right w:val="single" w:sz="4" w:space="0" w:color="auto"/>
            </w:tcBorders>
            <w:shd w:val="clear" w:color="auto" w:fill="auto"/>
            <w:noWrap/>
            <w:vAlign w:val="bottom"/>
            <w:hideMark/>
          </w:tcPr>
          <w:p w14:paraId="289A7A30"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494E38F0"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Risultati economici di esercizi precedenti</w:t>
            </w:r>
          </w:p>
        </w:tc>
        <w:tc>
          <w:tcPr>
            <w:tcW w:w="1419" w:type="dxa"/>
            <w:tcBorders>
              <w:top w:val="nil"/>
              <w:left w:val="nil"/>
              <w:bottom w:val="nil"/>
              <w:right w:val="double" w:sz="6" w:space="0" w:color="auto"/>
            </w:tcBorders>
            <w:shd w:val="clear" w:color="auto" w:fill="auto"/>
            <w:noWrap/>
            <w:vAlign w:val="bottom"/>
            <w:hideMark/>
          </w:tcPr>
          <w:p w14:paraId="58EB1D30"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68.755,77 </w:t>
            </w:r>
          </w:p>
        </w:tc>
        <w:tc>
          <w:tcPr>
            <w:tcW w:w="1426" w:type="dxa"/>
            <w:tcBorders>
              <w:top w:val="nil"/>
              <w:left w:val="nil"/>
              <w:bottom w:val="nil"/>
              <w:right w:val="double" w:sz="6" w:space="0" w:color="auto"/>
            </w:tcBorders>
            <w:shd w:val="clear" w:color="auto" w:fill="auto"/>
            <w:noWrap/>
            <w:vAlign w:val="bottom"/>
            <w:hideMark/>
          </w:tcPr>
          <w:p w14:paraId="4ECB97A6"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2.389.243,99 </w:t>
            </w:r>
          </w:p>
        </w:tc>
        <w:tc>
          <w:tcPr>
            <w:tcW w:w="1427" w:type="dxa"/>
            <w:tcBorders>
              <w:top w:val="nil"/>
              <w:left w:val="nil"/>
              <w:bottom w:val="nil"/>
              <w:right w:val="double" w:sz="6" w:space="0" w:color="auto"/>
            </w:tcBorders>
            <w:shd w:val="clear" w:color="auto" w:fill="auto"/>
            <w:noWrap/>
            <w:vAlign w:val="bottom"/>
            <w:hideMark/>
          </w:tcPr>
          <w:p w14:paraId="738593A4"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2.320.488,22 </w:t>
            </w:r>
          </w:p>
        </w:tc>
      </w:tr>
      <w:tr w:rsidR="002B432A" w:rsidRPr="002B432A" w14:paraId="31308015" w14:textId="77777777" w:rsidTr="002B432A">
        <w:trPr>
          <w:trHeight w:val="290"/>
          <w:jc w:val="center"/>
        </w:trPr>
        <w:tc>
          <w:tcPr>
            <w:tcW w:w="228" w:type="dxa"/>
            <w:tcBorders>
              <w:top w:val="nil"/>
              <w:left w:val="double" w:sz="6" w:space="0" w:color="auto"/>
              <w:bottom w:val="nil"/>
              <w:right w:val="nil"/>
            </w:tcBorders>
            <w:shd w:val="clear" w:color="auto" w:fill="auto"/>
            <w:noWrap/>
            <w:vAlign w:val="bottom"/>
            <w:hideMark/>
          </w:tcPr>
          <w:p w14:paraId="0AEDB244"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V</w:t>
            </w:r>
          </w:p>
        </w:tc>
        <w:tc>
          <w:tcPr>
            <w:tcW w:w="236" w:type="dxa"/>
            <w:tcBorders>
              <w:top w:val="nil"/>
              <w:left w:val="nil"/>
              <w:bottom w:val="nil"/>
              <w:right w:val="nil"/>
            </w:tcBorders>
            <w:shd w:val="clear" w:color="auto" w:fill="auto"/>
            <w:noWrap/>
            <w:vAlign w:val="bottom"/>
            <w:hideMark/>
          </w:tcPr>
          <w:p w14:paraId="5BDC8902" w14:textId="77777777" w:rsidR="002B432A" w:rsidRPr="002B432A" w:rsidRDefault="002B432A" w:rsidP="002B432A">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14:paraId="3680F54F"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vAlign w:val="bottom"/>
            <w:hideMark/>
          </w:tcPr>
          <w:p w14:paraId="0C4F9A8A"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xml:space="preserve">Riserve negative per beni indisponibili </w:t>
            </w:r>
          </w:p>
        </w:tc>
        <w:tc>
          <w:tcPr>
            <w:tcW w:w="1419" w:type="dxa"/>
            <w:tcBorders>
              <w:top w:val="nil"/>
              <w:left w:val="nil"/>
              <w:bottom w:val="nil"/>
              <w:right w:val="double" w:sz="6" w:space="0" w:color="auto"/>
            </w:tcBorders>
            <w:shd w:val="clear" w:color="auto" w:fill="auto"/>
            <w:noWrap/>
            <w:vAlign w:val="bottom"/>
            <w:hideMark/>
          </w:tcPr>
          <w:p w14:paraId="64E85481"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6" w:type="dxa"/>
            <w:tcBorders>
              <w:top w:val="nil"/>
              <w:left w:val="nil"/>
              <w:bottom w:val="nil"/>
              <w:right w:val="double" w:sz="6" w:space="0" w:color="auto"/>
            </w:tcBorders>
            <w:shd w:val="clear" w:color="auto" w:fill="auto"/>
            <w:noWrap/>
            <w:vAlign w:val="bottom"/>
            <w:hideMark/>
          </w:tcPr>
          <w:p w14:paraId="3FFED7CB"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c>
          <w:tcPr>
            <w:tcW w:w="1427" w:type="dxa"/>
            <w:tcBorders>
              <w:top w:val="nil"/>
              <w:left w:val="nil"/>
              <w:bottom w:val="nil"/>
              <w:right w:val="double" w:sz="6" w:space="0" w:color="auto"/>
            </w:tcBorders>
            <w:shd w:val="clear" w:color="auto" w:fill="auto"/>
            <w:noWrap/>
            <w:vAlign w:val="bottom"/>
            <w:hideMark/>
          </w:tcPr>
          <w:p w14:paraId="2EA9550C" w14:textId="77777777" w:rsidR="002B432A" w:rsidRPr="002B432A" w:rsidRDefault="002B432A" w:rsidP="002B432A">
            <w:pPr>
              <w:jc w:val="right"/>
              <w:rPr>
                <w:rFonts w:ascii="Calibri" w:hAnsi="Calibri" w:cs="Calibri"/>
                <w:color w:val="000000"/>
                <w:sz w:val="22"/>
                <w:szCs w:val="22"/>
              </w:rPr>
            </w:pPr>
            <w:r w:rsidRPr="002B432A">
              <w:rPr>
                <w:rFonts w:ascii="Calibri" w:hAnsi="Calibri" w:cs="Calibri"/>
                <w:color w:val="000000"/>
                <w:sz w:val="22"/>
                <w:szCs w:val="22"/>
              </w:rPr>
              <w:t xml:space="preserve">0,00 </w:t>
            </w:r>
          </w:p>
        </w:tc>
      </w:tr>
      <w:tr w:rsidR="002B432A" w:rsidRPr="002B432A" w14:paraId="72E48CB4" w14:textId="77777777" w:rsidTr="002B432A">
        <w:trPr>
          <w:trHeight w:val="300"/>
          <w:jc w:val="center"/>
        </w:trPr>
        <w:tc>
          <w:tcPr>
            <w:tcW w:w="228" w:type="dxa"/>
            <w:tcBorders>
              <w:top w:val="nil"/>
              <w:left w:val="double" w:sz="6" w:space="0" w:color="auto"/>
              <w:bottom w:val="nil"/>
              <w:right w:val="nil"/>
            </w:tcBorders>
            <w:shd w:val="clear" w:color="auto" w:fill="auto"/>
            <w:noWrap/>
            <w:vAlign w:val="bottom"/>
            <w:hideMark/>
          </w:tcPr>
          <w:p w14:paraId="2CAE6D7D"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nil"/>
              <w:right w:val="nil"/>
            </w:tcBorders>
            <w:shd w:val="clear" w:color="auto" w:fill="auto"/>
            <w:noWrap/>
            <w:vAlign w:val="bottom"/>
            <w:hideMark/>
          </w:tcPr>
          <w:p w14:paraId="3AAB0F4E" w14:textId="77777777" w:rsidR="002B432A" w:rsidRPr="002B432A" w:rsidRDefault="002B432A" w:rsidP="002B432A">
            <w:pPr>
              <w:rPr>
                <w:rFonts w:ascii="Calibri" w:hAnsi="Calibri" w:cs="Calibri"/>
                <w:sz w:val="22"/>
                <w:szCs w:val="22"/>
              </w:rPr>
            </w:pPr>
          </w:p>
        </w:tc>
        <w:tc>
          <w:tcPr>
            <w:tcW w:w="236" w:type="dxa"/>
            <w:tcBorders>
              <w:top w:val="nil"/>
              <w:left w:val="nil"/>
              <w:bottom w:val="nil"/>
              <w:right w:val="single" w:sz="4" w:space="0" w:color="auto"/>
            </w:tcBorders>
            <w:shd w:val="clear" w:color="auto" w:fill="auto"/>
            <w:noWrap/>
            <w:vAlign w:val="bottom"/>
            <w:hideMark/>
          </w:tcPr>
          <w:p w14:paraId="4F76F45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nil"/>
              <w:right w:val="single" w:sz="4" w:space="0" w:color="auto"/>
            </w:tcBorders>
            <w:shd w:val="clear" w:color="auto" w:fill="auto"/>
            <w:noWrap/>
            <w:vAlign w:val="bottom"/>
            <w:hideMark/>
          </w:tcPr>
          <w:p w14:paraId="21884848" w14:textId="77777777" w:rsidR="002B432A" w:rsidRPr="002B432A" w:rsidRDefault="002B432A" w:rsidP="002B432A">
            <w:pPr>
              <w:rPr>
                <w:rFonts w:ascii="Calibri" w:hAnsi="Calibri" w:cs="Calibri"/>
                <w:b/>
                <w:bCs/>
                <w:sz w:val="22"/>
                <w:szCs w:val="22"/>
              </w:rPr>
            </w:pPr>
            <w:r w:rsidRPr="002B432A">
              <w:rPr>
                <w:rFonts w:ascii="Calibri" w:hAnsi="Calibri" w:cs="Calibri"/>
                <w:b/>
                <w:bCs/>
                <w:sz w:val="22"/>
                <w:szCs w:val="22"/>
              </w:rPr>
              <w:t> </w:t>
            </w:r>
          </w:p>
        </w:tc>
        <w:tc>
          <w:tcPr>
            <w:tcW w:w="1419" w:type="dxa"/>
            <w:tcBorders>
              <w:top w:val="nil"/>
              <w:left w:val="nil"/>
              <w:bottom w:val="nil"/>
              <w:right w:val="double" w:sz="6" w:space="0" w:color="auto"/>
            </w:tcBorders>
            <w:shd w:val="clear" w:color="auto" w:fill="auto"/>
            <w:noWrap/>
            <w:vAlign w:val="bottom"/>
            <w:hideMark/>
          </w:tcPr>
          <w:p w14:paraId="0449BF1D"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1426" w:type="dxa"/>
            <w:tcBorders>
              <w:top w:val="nil"/>
              <w:left w:val="nil"/>
              <w:bottom w:val="nil"/>
              <w:right w:val="double" w:sz="6" w:space="0" w:color="auto"/>
            </w:tcBorders>
            <w:shd w:val="clear" w:color="auto" w:fill="auto"/>
            <w:noWrap/>
            <w:vAlign w:val="bottom"/>
            <w:hideMark/>
          </w:tcPr>
          <w:p w14:paraId="1C355D8E"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1427" w:type="dxa"/>
            <w:tcBorders>
              <w:top w:val="nil"/>
              <w:left w:val="nil"/>
              <w:bottom w:val="nil"/>
              <w:right w:val="double" w:sz="6" w:space="0" w:color="auto"/>
            </w:tcBorders>
            <w:shd w:val="clear" w:color="auto" w:fill="auto"/>
            <w:noWrap/>
            <w:vAlign w:val="bottom"/>
            <w:hideMark/>
          </w:tcPr>
          <w:p w14:paraId="4652D5E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r>
      <w:tr w:rsidR="002B432A" w:rsidRPr="002B432A" w14:paraId="030E69CB" w14:textId="77777777" w:rsidTr="002B432A">
        <w:trPr>
          <w:trHeight w:val="300"/>
          <w:jc w:val="center"/>
        </w:trPr>
        <w:tc>
          <w:tcPr>
            <w:tcW w:w="228" w:type="dxa"/>
            <w:tcBorders>
              <w:top w:val="nil"/>
              <w:left w:val="double" w:sz="6" w:space="0" w:color="auto"/>
              <w:bottom w:val="double" w:sz="6" w:space="0" w:color="auto"/>
              <w:right w:val="nil"/>
            </w:tcBorders>
            <w:shd w:val="clear" w:color="auto" w:fill="auto"/>
            <w:noWrap/>
            <w:vAlign w:val="bottom"/>
            <w:hideMark/>
          </w:tcPr>
          <w:p w14:paraId="44F6BF6A"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double" w:sz="6" w:space="0" w:color="auto"/>
              <w:right w:val="nil"/>
            </w:tcBorders>
            <w:shd w:val="clear" w:color="auto" w:fill="auto"/>
            <w:noWrap/>
            <w:vAlign w:val="bottom"/>
            <w:hideMark/>
          </w:tcPr>
          <w:p w14:paraId="491A203F"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236" w:type="dxa"/>
            <w:tcBorders>
              <w:top w:val="nil"/>
              <w:left w:val="nil"/>
              <w:bottom w:val="double" w:sz="6" w:space="0" w:color="auto"/>
              <w:right w:val="single" w:sz="4" w:space="0" w:color="auto"/>
            </w:tcBorders>
            <w:shd w:val="clear" w:color="auto" w:fill="auto"/>
            <w:noWrap/>
            <w:vAlign w:val="bottom"/>
            <w:hideMark/>
          </w:tcPr>
          <w:p w14:paraId="0A53E975" w14:textId="77777777" w:rsidR="002B432A" w:rsidRPr="002B432A" w:rsidRDefault="002B432A" w:rsidP="002B432A">
            <w:pPr>
              <w:rPr>
                <w:rFonts w:ascii="Calibri" w:hAnsi="Calibri" w:cs="Calibri"/>
                <w:sz w:val="22"/>
                <w:szCs w:val="22"/>
              </w:rPr>
            </w:pPr>
            <w:r w:rsidRPr="002B432A">
              <w:rPr>
                <w:rFonts w:ascii="Calibri" w:hAnsi="Calibri" w:cs="Calibri"/>
                <w:sz w:val="22"/>
                <w:szCs w:val="22"/>
              </w:rPr>
              <w:t> </w:t>
            </w:r>
          </w:p>
        </w:tc>
        <w:tc>
          <w:tcPr>
            <w:tcW w:w="4268" w:type="dxa"/>
            <w:tcBorders>
              <w:top w:val="nil"/>
              <w:left w:val="single" w:sz="4" w:space="0" w:color="auto"/>
              <w:bottom w:val="double" w:sz="6" w:space="0" w:color="auto"/>
              <w:right w:val="single" w:sz="4" w:space="0" w:color="auto"/>
            </w:tcBorders>
            <w:shd w:val="clear" w:color="auto" w:fill="auto"/>
            <w:noWrap/>
            <w:vAlign w:val="bottom"/>
            <w:hideMark/>
          </w:tcPr>
          <w:p w14:paraId="502FD571"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sz w:val="22"/>
                <w:szCs w:val="22"/>
              </w:rPr>
              <w:t>TOTALE PATRIMONIO NETTO (A)</w:t>
            </w:r>
          </w:p>
        </w:tc>
        <w:tc>
          <w:tcPr>
            <w:tcW w:w="1419" w:type="dxa"/>
            <w:tcBorders>
              <w:top w:val="single" w:sz="8" w:space="0" w:color="auto"/>
              <w:left w:val="nil"/>
              <w:bottom w:val="double" w:sz="6" w:space="0" w:color="auto"/>
              <w:right w:val="double" w:sz="6" w:space="0" w:color="auto"/>
            </w:tcBorders>
            <w:shd w:val="clear" w:color="auto" w:fill="auto"/>
            <w:noWrap/>
            <w:vAlign w:val="bottom"/>
            <w:hideMark/>
          </w:tcPr>
          <w:p w14:paraId="561C22C5"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sz w:val="22"/>
                <w:szCs w:val="22"/>
              </w:rPr>
              <w:t xml:space="preserve">2.389.243,99 </w:t>
            </w:r>
          </w:p>
        </w:tc>
        <w:tc>
          <w:tcPr>
            <w:tcW w:w="1426" w:type="dxa"/>
            <w:tcBorders>
              <w:top w:val="single" w:sz="8" w:space="0" w:color="auto"/>
              <w:left w:val="nil"/>
              <w:bottom w:val="double" w:sz="6" w:space="0" w:color="auto"/>
              <w:right w:val="double" w:sz="6" w:space="0" w:color="auto"/>
            </w:tcBorders>
            <w:shd w:val="clear" w:color="auto" w:fill="auto"/>
            <w:noWrap/>
            <w:vAlign w:val="bottom"/>
            <w:hideMark/>
          </w:tcPr>
          <w:p w14:paraId="106ECDCA"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sz w:val="22"/>
                <w:szCs w:val="22"/>
              </w:rPr>
              <w:t xml:space="preserve">452.868,58 </w:t>
            </w:r>
          </w:p>
        </w:tc>
        <w:tc>
          <w:tcPr>
            <w:tcW w:w="1427" w:type="dxa"/>
            <w:tcBorders>
              <w:top w:val="single" w:sz="8" w:space="0" w:color="auto"/>
              <w:left w:val="nil"/>
              <w:bottom w:val="double" w:sz="6" w:space="0" w:color="auto"/>
              <w:right w:val="double" w:sz="6" w:space="0" w:color="auto"/>
            </w:tcBorders>
            <w:shd w:val="clear" w:color="auto" w:fill="auto"/>
            <w:noWrap/>
            <w:vAlign w:val="bottom"/>
            <w:hideMark/>
          </w:tcPr>
          <w:p w14:paraId="05D97948" w14:textId="77777777" w:rsidR="002B432A" w:rsidRPr="002B432A" w:rsidRDefault="002B432A" w:rsidP="002B432A">
            <w:pPr>
              <w:jc w:val="right"/>
              <w:rPr>
                <w:rFonts w:ascii="Calibri" w:hAnsi="Calibri" w:cs="Calibri"/>
                <w:b/>
                <w:bCs/>
                <w:sz w:val="22"/>
                <w:szCs w:val="22"/>
              </w:rPr>
            </w:pPr>
            <w:r w:rsidRPr="002B432A">
              <w:rPr>
                <w:rFonts w:ascii="Calibri" w:hAnsi="Calibri" w:cs="Calibri"/>
                <w:b/>
                <w:bCs/>
                <w:color w:val="FF0000"/>
                <w:sz w:val="22"/>
                <w:szCs w:val="22"/>
              </w:rPr>
              <w:t xml:space="preserve">-1.936.375,41 </w:t>
            </w:r>
          </w:p>
        </w:tc>
      </w:tr>
    </w:tbl>
    <w:p w14:paraId="234FE2B1" w14:textId="77777777" w:rsidR="008F727D" w:rsidRDefault="008F727D">
      <w:pPr>
        <w:spacing w:line="312" w:lineRule="auto"/>
        <w:ind w:left="360"/>
        <w:jc w:val="both"/>
        <w:rPr>
          <w:rFonts w:ascii="Book Antiqua" w:hAnsi="Book Antiqua" w:cs="Arial"/>
          <w:sz w:val="22"/>
          <w:szCs w:val="22"/>
        </w:rPr>
      </w:pPr>
    </w:p>
    <w:p w14:paraId="693EE7C1" w14:textId="29BDEDD9" w:rsidR="008F727D" w:rsidRDefault="002B432A" w:rsidP="002B432A">
      <w:pPr>
        <w:spacing w:line="312" w:lineRule="auto"/>
        <w:ind w:left="360"/>
        <w:jc w:val="both"/>
        <w:rPr>
          <w:rFonts w:ascii="Book Antiqua" w:hAnsi="Book Antiqua" w:cs="Arial"/>
          <w:sz w:val="22"/>
          <w:szCs w:val="22"/>
        </w:rPr>
      </w:pPr>
      <w:r>
        <w:rPr>
          <w:rFonts w:ascii="Book Antiqua" w:hAnsi="Book Antiqua"/>
          <w:sz w:val="22"/>
          <w:szCs w:val="22"/>
        </w:rPr>
        <w:t xml:space="preserve">L’Agenzia non ha DEBITI DI FINANZIAMENTO, né si rilevano </w:t>
      </w:r>
      <w:r>
        <w:rPr>
          <w:rFonts w:ascii="Book Antiqua" w:hAnsi="Book Antiqua" w:cs="Arial"/>
          <w:sz w:val="22"/>
          <w:szCs w:val="22"/>
        </w:rPr>
        <w:t>contributi agli investimenti.</w:t>
      </w:r>
    </w:p>
    <w:p w14:paraId="2D4DB5AD" w14:textId="5D8F44C6" w:rsidR="008F727D" w:rsidRDefault="002B432A">
      <w:pPr>
        <w:spacing w:line="312" w:lineRule="auto"/>
        <w:ind w:left="360"/>
        <w:jc w:val="both"/>
        <w:rPr>
          <w:rFonts w:ascii="Book Antiqua" w:hAnsi="Book Antiqua" w:cs="Arial"/>
          <w:sz w:val="22"/>
          <w:szCs w:val="22"/>
        </w:rPr>
      </w:pPr>
      <w:r>
        <w:rPr>
          <w:rFonts w:ascii="Book Antiqua" w:hAnsi="Book Antiqua" w:cs="Arial"/>
          <w:sz w:val="22"/>
          <w:szCs w:val="22"/>
        </w:rPr>
        <w:t>È stata altresì verificata la quadratura dei debiti con i residui passivi.</w:t>
      </w:r>
    </w:p>
    <w:p w14:paraId="03D40D25" w14:textId="77777777" w:rsidR="008F727D" w:rsidRDefault="008F727D">
      <w:pPr>
        <w:spacing w:line="312" w:lineRule="auto"/>
        <w:ind w:left="360"/>
        <w:jc w:val="both"/>
        <w:rPr>
          <w:rFonts w:ascii="Book Antiqua" w:hAnsi="Book Antiqua" w:cs="Arial"/>
          <w:sz w:val="22"/>
          <w:szCs w:val="22"/>
        </w:rPr>
      </w:pPr>
    </w:p>
    <w:p w14:paraId="7908F225" w14:textId="3F0BF6D0"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I RATEI PASSIVI sono quote di costo di competenza economica del periodo amministrativo considerato ma la cui manifestazione numeraria non è ancora avv</w:t>
      </w:r>
      <w:r>
        <w:rPr>
          <w:rFonts w:ascii="Book Antiqua" w:hAnsi="Book Antiqua" w:cs="Arial"/>
          <w:sz w:val="22"/>
          <w:szCs w:val="22"/>
        </w:rPr>
        <w:t xml:space="preserve">enuta. Allo stato attuale </w:t>
      </w:r>
      <w:r w:rsidRPr="002B432A">
        <w:rPr>
          <w:rFonts w:ascii="Book Antiqua" w:hAnsi="Book Antiqua" w:cs="Arial"/>
          <w:sz w:val="22"/>
          <w:szCs w:val="22"/>
        </w:rPr>
        <w:t xml:space="preserve">si sono </w:t>
      </w:r>
      <w:r>
        <w:rPr>
          <w:rFonts w:ascii="Book Antiqua" w:hAnsi="Book Antiqua" w:cs="Arial"/>
          <w:sz w:val="22"/>
          <w:szCs w:val="22"/>
        </w:rPr>
        <w:t>registrati ratei passivi</w:t>
      </w:r>
      <w:r w:rsidR="002B432A">
        <w:rPr>
          <w:rFonts w:ascii="Book Antiqua" w:hAnsi="Book Antiqua" w:cs="Arial"/>
          <w:sz w:val="22"/>
          <w:szCs w:val="22"/>
        </w:rPr>
        <w:t>, relativi ai premi per il personale, relativi all’anno 2022, che saranno definiti e corrisposti nell’anno 2023.</w:t>
      </w:r>
      <w:r>
        <w:rPr>
          <w:rFonts w:ascii="Book Antiqua" w:hAnsi="Book Antiqua" w:cs="Arial"/>
          <w:sz w:val="22"/>
          <w:szCs w:val="22"/>
        </w:rPr>
        <w:t>.</w:t>
      </w:r>
    </w:p>
    <w:p w14:paraId="673E6E00" w14:textId="3DD53FC8"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 xml:space="preserve">I RISCONTI PASSIVI sono quote di proventi la cui manifestazione numeraria è già avvenuta ma che sono di competenza economica anche di periodi amministrativi successivi. Nel caso specifico, </w:t>
      </w:r>
      <w:r w:rsidR="002B432A">
        <w:rPr>
          <w:rFonts w:ascii="Book Antiqua" w:hAnsi="Book Antiqua" w:cs="Arial"/>
          <w:sz w:val="22"/>
          <w:szCs w:val="22"/>
        </w:rPr>
        <w:t xml:space="preserve">non </w:t>
      </w:r>
      <w:r>
        <w:rPr>
          <w:rFonts w:ascii="Book Antiqua" w:hAnsi="Book Antiqua" w:cs="Arial"/>
          <w:sz w:val="22"/>
          <w:szCs w:val="22"/>
        </w:rPr>
        <w:t>si rilevano risconti passivi.</w:t>
      </w:r>
    </w:p>
    <w:p w14:paraId="51921D65" w14:textId="77777777" w:rsidR="002B432A" w:rsidRDefault="002B432A">
      <w:pPr>
        <w:spacing w:line="312" w:lineRule="auto"/>
        <w:ind w:left="360"/>
        <w:jc w:val="both"/>
        <w:rPr>
          <w:rFonts w:ascii="Book Antiqua" w:hAnsi="Book Antiqua" w:cs="Arial"/>
          <w:sz w:val="22"/>
          <w:szCs w:val="22"/>
        </w:rPr>
      </w:pPr>
    </w:p>
    <w:p w14:paraId="610ED9E1" w14:textId="77777777" w:rsidR="008F727D" w:rsidRDefault="00B71142">
      <w:pPr>
        <w:spacing w:line="312" w:lineRule="auto"/>
        <w:ind w:left="360"/>
        <w:jc w:val="both"/>
        <w:rPr>
          <w:rFonts w:ascii="Book Antiqua" w:hAnsi="Book Antiqua" w:cs="Arial"/>
          <w:sz w:val="22"/>
          <w:szCs w:val="22"/>
        </w:rPr>
      </w:pPr>
      <w:r>
        <w:rPr>
          <w:rFonts w:ascii="Book Antiqua" w:hAnsi="Book Antiqua" w:cs="Arial"/>
          <w:sz w:val="22"/>
          <w:szCs w:val="22"/>
        </w:rPr>
        <w:t>In calce allo Stato Patrimoniale</w:t>
      </w:r>
      <w:r>
        <w:rPr>
          <w:rFonts w:ascii="Book Antiqua" w:hAnsi="Book Antiqua" w:cs="Arial"/>
          <w:sz w:val="22"/>
          <w:szCs w:val="22"/>
        </w:rPr>
        <w:t xml:space="preserve"> Passivo sono evidenziati i CONTI D’ORDINE, che nel nuovo modello sono confluiti in un’unica voce denominata “impegni su esercizi futuri” e in cui sono confluiti quei residui relativi a opere da realizzare ed impegni su esercizi futuri. In particolare, nei</w:t>
      </w:r>
      <w:r>
        <w:rPr>
          <w:rFonts w:ascii="Book Antiqua" w:hAnsi="Book Antiqua" w:cs="Arial"/>
          <w:sz w:val="22"/>
          <w:szCs w:val="22"/>
        </w:rPr>
        <w:t xml:space="preserve"> conti d’ordine “impegni su esercizi futuri” risulta l’importo del Fondo Pluriennale Vincolato per spese in c\capitale.</w:t>
      </w:r>
    </w:p>
    <w:p w14:paraId="69FE3DF8" w14:textId="77777777" w:rsidR="008F727D" w:rsidRDefault="00B71142">
      <w:pPr>
        <w:rPr>
          <w:rFonts w:ascii="Book Antiqua" w:hAnsi="Book Antiqua" w:cs="Arial"/>
          <w:sz w:val="28"/>
          <w:szCs w:val="28"/>
        </w:rPr>
      </w:pPr>
      <w:r>
        <w:rPr>
          <w:rFonts w:ascii="Book Antiqua" w:hAnsi="Book Antiqua" w:cs="Arial"/>
          <w:sz w:val="28"/>
          <w:szCs w:val="28"/>
        </w:rPr>
        <w:br w:type="page"/>
      </w:r>
    </w:p>
    <w:p w14:paraId="599C39D2" w14:textId="77777777" w:rsidR="008F727D" w:rsidRDefault="008F727D">
      <w:pPr>
        <w:spacing w:line="312" w:lineRule="auto"/>
        <w:ind w:left="360"/>
        <w:jc w:val="both"/>
        <w:rPr>
          <w:rFonts w:ascii="Book Antiqua" w:hAnsi="Book Antiqua" w:cs="Arial"/>
          <w:sz w:val="28"/>
          <w:szCs w:val="28"/>
        </w:rPr>
      </w:pPr>
    </w:p>
    <w:p w14:paraId="59630840" w14:textId="77777777" w:rsidR="008F727D" w:rsidRDefault="00B71142">
      <w:pPr>
        <w:spacing w:line="312" w:lineRule="auto"/>
        <w:ind w:left="360"/>
        <w:jc w:val="both"/>
        <w:rPr>
          <w:rFonts w:ascii="Book Antiqua" w:hAnsi="Book Antiqua" w:cs="Arial"/>
          <w:sz w:val="28"/>
          <w:szCs w:val="28"/>
        </w:rPr>
      </w:pPr>
      <w:r>
        <w:rPr>
          <w:rFonts w:ascii="Book Antiqua" w:hAnsi="Book Antiqua" w:cs="Arial"/>
          <w:sz w:val="28"/>
          <w:szCs w:val="28"/>
        </w:rPr>
        <w:t>IL CONTO ECONOMICO</w:t>
      </w:r>
    </w:p>
    <w:p w14:paraId="47406CB8" w14:textId="19446791" w:rsidR="008F727D" w:rsidRDefault="00B71142">
      <w:pPr>
        <w:spacing w:line="312" w:lineRule="auto"/>
        <w:ind w:left="360"/>
        <w:jc w:val="both"/>
        <w:rPr>
          <w:rFonts w:ascii="Book Antiqua" w:hAnsi="Book Antiqua" w:cs="Arial"/>
          <w:sz w:val="28"/>
          <w:szCs w:val="28"/>
        </w:rPr>
      </w:pPr>
      <w:r>
        <w:rPr>
          <w:rFonts w:ascii="Book Antiqua" w:hAnsi="Book Antiqua"/>
          <w:sz w:val="24"/>
          <w:szCs w:val="24"/>
        </w:rPr>
        <w:t>Il Conto Economico rileva il risultato della gestione economica derivante dalla differenza tra ricavi e costi dell</w:t>
      </w:r>
      <w:r>
        <w:rPr>
          <w:rFonts w:ascii="Book Antiqua" w:hAnsi="Book Antiqua"/>
          <w:sz w:val="24"/>
          <w:szCs w:val="24"/>
        </w:rPr>
        <w:t>a gestione rilevati durante l’esercizio 2022. Se lo stato patrimoniale “fotografa” la situazione patrimoniale e finanziaria all’inizio ed alla fine del periodo amministrativo, il conto economico consente invece di cogliere la gestione nel suo divenire, app</w:t>
      </w:r>
      <w:r>
        <w:rPr>
          <w:rFonts w:ascii="Book Antiqua" w:hAnsi="Book Antiqua"/>
          <w:sz w:val="24"/>
          <w:szCs w:val="24"/>
        </w:rPr>
        <w:t>rofondendo le cause economiche della variazione subita dal patrimonio netto dell’Ente. Anche lo schema di Conto Economico allegato al D.Lgs. 118/2011 presenta una struttura scalare, come quello del DPR 194/96, in cui le voci sono classificate secondo la lo</w:t>
      </w:r>
      <w:r>
        <w:rPr>
          <w:rFonts w:ascii="Book Antiqua" w:hAnsi="Book Antiqua"/>
          <w:sz w:val="24"/>
          <w:szCs w:val="24"/>
        </w:rPr>
        <w:t>ro natura, ed espone non solo il risultato economico dell’esercizio, ma anche alcuni risultati intermedi (differenza tra componenti positivi e negativi della gestione, totale proventi ed oneri finanziari, totale rettifiche di valore di attività finanziarie</w:t>
      </w:r>
      <w:r>
        <w:rPr>
          <w:rFonts w:ascii="Book Antiqua" w:hAnsi="Book Antiqua"/>
          <w:sz w:val="24"/>
          <w:szCs w:val="24"/>
        </w:rPr>
        <w:t>, totale proventi ed oneri straordinari, risultato prima delle imposte e risultato dell’esercizio). Questo tipo di schema consente di giungere ad una comprensione delle modalità di formazione del risultato economico, pur mantenendo intatta la visione unita</w:t>
      </w:r>
      <w:r>
        <w:rPr>
          <w:rFonts w:ascii="Book Antiqua" w:hAnsi="Book Antiqua"/>
          <w:sz w:val="24"/>
          <w:szCs w:val="24"/>
        </w:rPr>
        <w:t>ria della gestione; essa dovrebbe evidenziare il contributo delle diverse aree gestionali alla formazione del risultato economico del periodo e dovrebbe, quindi, evidenziare dove si originano le “cause” della variazione subita dal patrimonio di funzionamen</w:t>
      </w:r>
      <w:r>
        <w:rPr>
          <w:rFonts w:ascii="Book Antiqua" w:hAnsi="Book Antiqua"/>
          <w:sz w:val="24"/>
          <w:szCs w:val="24"/>
        </w:rPr>
        <w:t>to. Il Conto Economico è stato compilato confrontando i valori del 2022 con quelli del 2021.</w:t>
      </w:r>
    </w:p>
    <w:p w14:paraId="0D97B726" w14:textId="77777777" w:rsidR="008F727D" w:rsidRDefault="00B71142">
      <w:pPr>
        <w:spacing w:line="312" w:lineRule="auto"/>
        <w:ind w:left="357"/>
        <w:jc w:val="both"/>
        <w:rPr>
          <w:rFonts w:ascii="Book Antiqua" w:hAnsi="Book Antiqua" w:cs="Arial"/>
          <w:sz w:val="24"/>
          <w:szCs w:val="24"/>
        </w:rPr>
      </w:pPr>
      <w:r>
        <w:rPr>
          <w:rFonts w:ascii="Book Antiqua" w:hAnsi="Book Antiqua" w:cs="Arial"/>
          <w:sz w:val="24"/>
          <w:szCs w:val="24"/>
        </w:rPr>
        <w:t>Il Conto Economico è stato redatto secondo il modello del D.Lgs. 118/2011.</w:t>
      </w:r>
    </w:p>
    <w:p w14:paraId="1059DA4A" w14:textId="41F14196" w:rsidR="008F727D" w:rsidRDefault="00B71142">
      <w:pPr>
        <w:spacing w:line="312" w:lineRule="auto"/>
        <w:ind w:left="357"/>
        <w:jc w:val="both"/>
        <w:rPr>
          <w:rFonts w:ascii="Book Antiqua" w:hAnsi="Book Antiqua" w:cs="Arial"/>
          <w:sz w:val="24"/>
          <w:szCs w:val="24"/>
        </w:rPr>
      </w:pPr>
      <w:r>
        <w:rPr>
          <w:rFonts w:ascii="Book Antiqua" w:hAnsi="Book Antiqua" w:cs="Arial"/>
          <w:sz w:val="24"/>
          <w:szCs w:val="24"/>
        </w:rPr>
        <w:t xml:space="preserve">Il risultato economico d’esercizio di </w:t>
      </w:r>
      <w:r w:rsidR="002B432A">
        <w:rPr>
          <w:rFonts w:ascii="Book Antiqua" w:hAnsi="Book Antiqua" w:cs="Arial"/>
          <w:sz w:val="24"/>
          <w:szCs w:val="24"/>
        </w:rPr>
        <w:t xml:space="preserve">- </w:t>
      </w:r>
      <w:r>
        <w:rPr>
          <w:rFonts w:ascii="Book Antiqua" w:hAnsi="Book Antiqua" w:cs="Arial"/>
          <w:sz w:val="24"/>
          <w:szCs w:val="24"/>
        </w:rPr>
        <w:t>€</w:t>
      </w:r>
      <w:r w:rsidR="002B432A">
        <w:rPr>
          <w:rFonts w:ascii="Book Antiqua" w:hAnsi="Book Antiqua" w:cs="Arial"/>
          <w:sz w:val="24"/>
          <w:szCs w:val="24"/>
        </w:rPr>
        <w:t xml:space="preserve"> </w:t>
      </w:r>
      <w:r w:rsidR="002B432A" w:rsidRPr="002B432A">
        <w:rPr>
          <w:rFonts w:ascii="Book Antiqua" w:hAnsi="Book Antiqua" w:cs="Arial"/>
          <w:sz w:val="24"/>
          <w:szCs w:val="24"/>
        </w:rPr>
        <w:t xml:space="preserve">1.936.375,41 </w:t>
      </w:r>
      <w:r>
        <w:rPr>
          <w:rFonts w:ascii="Book Antiqua" w:hAnsi="Book Antiqua" w:cs="Arial"/>
          <w:sz w:val="24"/>
          <w:szCs w:val="24"/>
        </w:rPr>
        <w:t xml:space="preserve"> evidenzia i componenti positivi </w:t>
      </w:r>
      <w:r>
        <w:rPr>
          <w:rFonts w:ascii="Book Antiqua" w:hAnsi="Book Antiqua" w:cs="Arial"/>
          <w:sz w:val="24"/>
          <w:szCs w:val="24"/>
        </w:rPr>
        <w:t>e negativi secondo criteri di competenza economica così sintetizzati, seguendo le voci del nuovo modello di Conto Economico:</w:t>
      </w:r>
    </w:p>
    <w:p w14:paraId="4EB1B627" w14:textId="77777777" w:rsidR="008F727D" w:rsidRDefault="008F727D">
      <w:pPr>
        <w:spacing w:line="312" w:lineRule="auto"/>
        <w:ind w:left="357"/>
        <w:jc w:val="both"/>
        <w:rPr>
          <w:rFonts w:ascii="Book Antiqua" w:hAnsi="Book Antiqua" w:cs="Arial"/>
          <w:sz w:val="24"/>
          <w:szCs w:val="24"/>
        </w:rPr>
      </w:pPr>
    </w:p>
    <w:tbl>
      <w:tblPr>
        <w:tblW w:w="7872" w:type="dxa"/>
        <w:jc w:val="center"/>
        <w:tblCellMar>
          <w:left w:w="70" w:type="dxa"/>
          <w:right w:w="70" w:type="dxa"/>
        </w:tblCellMar>
        <w:tblLook w:val="04A0" w:firstRow="1" w:lastRow="0" w:firstColumn="1" w:lastColumn="0" w:noHBand="0" w:noVBand="1"/>
      </w:tblPr>
      <w:tblGrid>
        <w:gridCol w:w="704"/>
        <w:gridCol w:w="5528"/>
        <w:gridCol w:w="1640"/>
      </w:tblGrid>
      <w:tr w:rsidR="002B432A" w:rsidRPr="002B432A" w14:paraId="52977939" w14:textId="77777777" w:rsidTr="002B432A">
        <w:trPr>
          <w:trHeight w:val="422"/>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18C9A" w14:textId="77777777" w:rsidR="002B432A" w:rsidRPr="002B432A" w:rsidRDefault="002B432A" w:rsidP="00EC350B">
            <w:pPr>
              <w:jc w:val="center"/>
              <w:rPr>
                <w:rFonts w:ascii="Arial" w:hAnsi="Arial" w:cs="Arial"/>
                <w:color w:val="000000"/>
                <w:sz w:val="22"/>
                <w:szCs w:val="22"/>
              </w:rPr>
            </w:pPr>
            <w:r w:rsidRPr="002B432A">
              <w:rPr>
                <w:rFonts w:ascii="Arial" w:hAnsi="Arial" w:cs="Arial"/>
                <w:color w:val="000000"/>
                <w:sz w:val="22"/>
                <w:szCs w:val="22"/>
              </w:rPr>
              <w:t>A</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14:paraId="2A1BACA4"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COMPONENTI POSITIVI DELLA GESTIONE</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02BAC801"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48.988.758,57</w:t>
            </w:r>
          </w:p>
        </w:tc>
      </w:tr>
      <w:tr w:rsidR="002B432A" w:rsidRPr="002B432A" w14:paraId="15D30D3A" w14:textId="77777777" w:rsidTr="00EC350B">
        <w:trPr>
          <w:trHeight w:val="414"/>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1255A8" w14:textId="77777777" w:rsidR="002B432A" w:rsidRPr="002B432A" w:rsidRDefault="002B432A" w:rsidP="00EC350B">
            <w:pPr>
              <w:jc w:val="center"/>
              <w:rPr>
                <w:rFonts w:ascii="Arial" w:hAnsi="Arial" w:cs="Arial"/>
                <w:color w:val="000000"/>
                <w:sz w:val="22"/>
                <w:szCs w:val="22"/>
              </w:rPr>
            </w:pPr>
            <w:r w:rsidRPr="002B432A">
              <w:rPr>
                <w:rFonts w:ascii="Arial" w:hAnsi="Arial" w:cs="Arial"/>
                <w:color w:val="000000"/>
                <w:sz w:val="22"/>
                <w:szCs w:val="22"/>
              </w:rPr>
              <w:t>B</w:t>
            </w:r>
          </w:p>
        </w:tc>
        <w:tc>
          <w:tcPr>
            <w:tcW w:w="5528" w:type="dxa"/>
            <w:tcBorders>
              <w:top w:val="nil"/>
              <w:left w:val="nil"/>
              <w:bottom w:val="single" w:sz="4" w:space="0" w:color="auto"/>
              <w:right w:val="single" w:sz="4" w:space="0" w:color="auto"/>
            </w:tcBorders>
            <w:shd w:val="clear" w:color="auto" w:fill="auto"/>
            <w:vAlign w:val="center"/>
            <w:hideMark/>
          </w:tcPr>
          <w:p w14:paraId="126CBF43"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COMPONENTI NEGATIVI DELLA GESTIONE</w:t>
            </w:r>
          </w:p>
        </w:tc>
        <w:tc>
          <w:tcPr>
            <w:tcW w:w="1640" w:type="dxa"/>
            <w:tcBorders>
              <w:top w:val="nil"/>
              <w:left w:val="nil"/>
              <w:bottom w:val="single" w:sz="4" w:space="0" w:color="auto"/>
              <w:right w:val="single" w:sz="4" w:space="0" w:color="auto"/>
            </w:tcBorders>
            <w:shd w:val="clear" w:color="auto" w:fill="auto"/>
            <w:noWrap/>
            <w:vAlign w:val="center"/>
            <w:hideMark/>
          </w:tcPr>
          <w:p w14:paraId="70F22DC7"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50.944.645,41</w:t>
            </w:r>
          </w:p>
        </w:tc>
      </w:tr>
      <w:tr w:rsidR="002B432A" w:rsidRPr="002B432A" w14:paraId="0D135983" w14:textId="77777777" w:rsidTr="002B432A">
        <w:trPr>
          <w:trHeight w:val="31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AF2D21" w14:textId="77777777" w:rsidR="002B432A" w:rsidRPr="002B432A" w:rsidRDefault="002B432A" w:rsidP="00EC350B">
            <w:pPr>
              <w:jc w:val="center"/>
              <w:rPr>
                <w:rFonts w:ascii="Arial" w:hAnsi="Arial" w:cs="Arial"/>
                <w:color w:val="000000"/>
                <w:sz w:val="22"/>
                <w:szCs w:val="22"/>
              </w:rPr>
            </w:pPr>
            <w:r w:rsidRPr="002B432A">
              <w:rPr>
                <w:rFonts w:ascii="Arial" w:hAnsi="Arial" w:cs="Arial"/>
                <w:color w:val="000000"/>
                <w:sz w:val="22"/>
                <w:szCs w:val="22"/>
              </w:rPr>
              <w:t>A - B</w:t>
            </w:r>
          </w:p>
        </w:tc>
        <w:tc>
          <w:tcPr>
            <w:tcW w:w="5528" w:type="dxa"/>
            <w:tcBorders>
              <w:top w:val="nil"/>
              <w:left w:val="nil"/>
              <w:bottom w:val="single" w:sz="4" w:space="0" w:color="auto"/>
              <w:right w:val="single" w:sz="4" w:space="0" w:color="auto"/>
            </w:tcBorders>
            <w:shd w:val="clear" w:color="auto" w:fill="auto"/>
            <w:vAlign w:val="center"/>
            <w:hideMark/>
          </w:tcPr>
          <w:p w14:paraId="47633AA2"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DIFFERENZA</w:t>
            </w:r>
          </w:p>
        </w:tc>
        <w:tc>
          <w:tcPr>
            <w:tcW w:w="1640" w:type="dxa"/>
            <w:tcBorders>
              <w:top w:val="nil"/>
              <w:left w:val="nil"/>
              <w:bottom w:val="single" w:sz="4" w:space="0" w:color="auto"/>
              <w:right w:val="single" w:sz="4" w:space="0" w:color="auto"/>
            </w:tcBorders>
            <w:shd w:val="clear" w:color="auto" w:fill="auto"/>
            <w:noWrap/>
            <w:vAlign w:val="center"/>
            <w:hideMark/>
          </w:tcPr>
          <w:p w14:paraId="44CD250E"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-1.955.886,84</w:t>
            </w:r>
          </w:p>
        </w:tc>
      </w:tr>
      <w:tr w:rsidR="002B432A" w:rsidRPr="002B432A" w14:paraId="2D284DE6" w14:textId="77777777" w:rsidTr="002B432A">
        <w:trPr>
          <w:trHeight w:val="31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5DBEBF" w14:textId="77777777" w:rsidR="002B432A" w:rsidRPr="002B432A" w:rsidRDefault="002B432A" w:rsidP="00EC350B">
            <w:pPr>
              <w:jc w:val="center"/>
              <w:rPr>
                <w:rFonts w:ascii="Arial" w:hAnsi="Arial" w:cs="Arial"/>
                <w:color w:val="000000"/>
                <w:sz w:val="22"/>
                <w:szCs w:val="22"/>
              </w:rPr>
            </w:pPr>
            <w:r w:rsidRPr="002B432A">
              <w:rPr>
                <w:rFonts w:ascii="Arial" w:hAnsi="Arial" w:cs="Arial"/>
                <w:color w:val="000000"/>
                <w:sz w:val="22"/>
                <w:szCs w:val="22"/>
              </w:rPr>
              <w:t>C</w:t>
            </w:r>
          </w:p>
        </w:tc>
        <w:tc>
          <w:tcPr>
            <w:tcW w:w="5528" w:type="dxa"/>
            <w:tcBorders>
              <w:top w:val="nil"/>
              <w:left w:val="nil"/>
              <w:bottom w:val="single" w:sz="4" w:space="0" w:color="auto"/>
              <w:right w:val="single" w:sz="4" w:space="0" w:color="auto"/>
            </w:tcBorders>
            <w:shd w:val="clear" w:color="auto" w:fill="auto"/>
            <w:vAlign w:val="center"/>
            <w:hideMark/>
          </w:tcPr>
          <w:p w14:paraId="396B7C28"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PROVENTI ED ONERI FINANZIARI</w:t>
            </w:r>
          </w:p>
        </w:tc>
        <w:tc>
          <w:tcPr>
            <w:tcW w:w="1640" w:type="dxa"/>
            <w:tcBorders>
              <w:top w:val="nil"/>
              <w:left w:val="nil"/>
              <w:bottom w:val="single" w:sz="4" w:space="0" w:color="auto"/>
              <w:right w:val="single" w:sz="4" w:space="0" w:color="auto"/>
            </w:tcBorders>
            <w:shd w:val="clear" w:color="auto" w:fill="auto"/>
            <w:noWrap/>
            <w:vAlign w:val="center"/>
            <w:hideMark/>
          </w:tcPr>
          <w:p w14:paraId="6B86CB0B"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39868E52" w14:textId="77777777" w:rsidTr="00EC350B">
        <w:trPr>
          <w:trHeight w:val="33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412F6B" w14:textId="77777777" w:rsidR="002B432A" w:rsidRPr="002B432A" w:rsidRDefault="002B432A" w:rsidP="00EC350B">
            <w:pPr>
              <w:jc w:val="center"/>
              <w:rPr>
                <w:rFonts w:ascii="Arial" w:hAnsi="Arial" w:cs="Arial"/>
                <w:color w:val="000000"/>
                <w:sz w:val="22"/>
                <w:szCs w:val="22"/>
              </w:rPr>
            </w:pPr>
            <w:r w:rsidRPr="002B432A">
              <w:rPr>
                <w:rFonts w:ascii="Arial" w:hAnsi="Arial" w:cs="Arial"/>
                <w:color w:val="000000"/>
                <w:sz w:val="22"/>
                <w:szCs w:val="22"/>
              </w:rPr>
              <w:t>D</w:t>
            </w:r>
          </w:p>
        </w:tc>
        <w:tc>
          <w:tcPr>
            <w:tcW w:w="5528" w:type="dxa"/>
            <w:tcBorders>
              <w:top w:val="nil"/>
              <w:left w:val="nil"/>
              <w:bottom w:val="single" w:sz="4" w:space="0" w:color="auto"/>
              <w:right w:val="single" w:sz="4" w:space="0" w:color="auto"/>
            </w:tcBorders>
            <w:shd w:val="clear" w:color="auto" w:fill="auto"/>
            <w:vAlign w:val="center"/>
            <w:hideMark/>
          </w:tcPr>
          <w:p w14:paraId="25C504EC"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RETTIFICHE DI VALORE ATTIVITA' FINANZIARIE</w:t>
            </w:r>
          </w:p>
        </w:tc>
        <w:tc>
          <w:tcPr>
            <w:tcW w:w="1640" w:type="dxa"/>
            <w:tcBorders>
              <w:top w:val="nil"/>
              <w:left w:val="nil"/>
              <w:bottom w:val="single" w:sz="4" w:space="0" w:color="auto"/>
              <w:right w:val="single" w:sz="4" w:space="0" w:color="auto"/>
            </w:tcBorders>
            <w:shd w:val="clear" w:color="auto" w:fill="auto"/>
            <w:noWrap/>
            <w:vAlign w:val="center"/>
            <w:hideMark/>
          </w:tcPr>
          <w:p w14:paraId="125A9EB0"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0,00</w:t>
            </w:r>
          </w:p>
        </w:tc>
      </w:tr>
      <w:tr w:rsidR="002B432A" w:rsidRPr="002B432A" w14:paraId="3D81CC30" w14:textId="77777777" w:rsidTr="00EC350B">
        <w:trPr>
          <w:trHeight w:val="278"/>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0EA518" w14:textId="77777777" w:rsidR="002B432A" w:rsidRPr="002B432A" w:rsidRDefault="002B432A" w:rsidP="00EC350B">
            <w:pPr>
              <w:jc w:val="center"/>
              <w:rPr>
                <w:rFonts w:ascii="Arial" w:hAnsi="Arial" w:cs="Arial"/>
                <w:color w:val="000000"/>
                <w:sz w:val="22"/>
                <w:szCs w:val="22"/>
              </w:rPr>
            </w:pPr>
            <w:r w:rsidRPr="002B432A">
              <w:rPr>
                <w:rFonts w:ascii="Arial" w:hAnsi="Arial" w:cs="Arial"/>
                <w:color w:val="000000"/>
                <w:sz w:val="22"/>
                <w:szCs w:val="22"/>
              </w:rPr>
              <w:t>E</w:t>
            </w:r>
          </w:p>
        </w:tc>
        <w:tc>
          <w:tcPr>
            <w:tcW w:w="5528" w:type="dxa"/>
            <w:tcBorders>
              <w:top w:val="nil"/>
              <w:left w:val="nil"/>
              <w:bottom w:val="single" w:sz="4" w:space="0" w:color="auto"/>
              <w:right w:val="single" w:sz="4" w:space="0" w:color="auto"/>
            </w:tcBorders>
            <w:shd w:val="clear" w:color="auto" w:fill="auto"/>
            <w:vAlign w:val="center"/>
            <w:hideMark/>
          </w:tcPr>
          <w:p w14:paraId="1EE08A99"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PROVENTI ED ONERI STRAORDINARI</w:t>
            </w:r>
          </w:p>
        </w:tc>
        <w:tc>
          <w:tcPr>
            <w:tcW w:w="1640" w:type="dxa"/>
            <w:tcBorders>
              <w:top w:val="nil"/>
              <w:left w:val="nil"/>
              <w:bottom w:val="single" w:sz="4" w:space="0" w:color="auto"/>
              <w:right w:val="single" w:sz="4" w:space="0" w:color="auto"/>
            </w:tcBorders>
            <w:shd w:val="clear" w:color="auto" w:fill="auto"/>
            <w:noWrap/>
            <w:vAlign w:val="center"/>
            <w:hideMark/>
          </w:tcPr>
          <w:p w14:paraId="2731D33E" w14:textId="77777777" w:rsidR="002B432A" w:rsidRPr="002B432A" w:rsidRDefault="002B432A" w:rsidP="002B432A">
            <w:pPr>
              <w:jc w:val="right"/>
              <w:rPr>
                <w:rFonts w:ascii="Arial" w:hAnsi="Arial" w:cs="Arial"/>
                <w:color w:val="000000"/>
                <w:sz w:val="22"/>
                <w:szCs w:val="22"/>
              </w:rPr>
            </w:pPr>
            <w:r w:rsidRPr="002B432A">
              <w:rPr>
                <w:rFonts w:ascii="Arial" w:hAnsi="Arial" w:cs="Arial"/>
                <w:color w:val="000000"/>
                <w:sz w:val="22"/>
                <w:szCs w:val="22"/>
              </w:rPr>
              <w:t>19.511,43</w:t>
            </w:r>
          </w:p>
        </w:tc>
      </w:tr>
      <w:tr w:rsidR="002B432A" w:rsidRPr="002B432A" w14:paraId="2B2701AF" w14:textId="77777777" w:rsidTr="002B432A">
        <w:trPr>
          <w:trHeight w:val="310"/>
          <w:jc w:val="center"/>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7831F09" w14:textId="77777777" w:rsidR="002B432A" w:rsidRPr="002B432A" w:rsidRDefault="002B432A" w:rsidP="002B432A">
            <w:pPr>
              <w:rPr>
                <w:rFonts w:ascii="Arial" w:hAnsi="Arial" w:cs="Arial"/>
                <w:color w:val="000000"/>
                <w:sz w:val="22"/>
                <w:szCs w:val="22"/>
              </w:rPr>
            </w:pPr>
            <w:r w:rsidRPr="002B432A">
              <w:rPr>
                <w:rFonts w:ascii="Arial" w:hAnsi="Arial" w:cs="Arial"/>
                <w:color w:val="000000"/>
                <w:sz w:val="22"/>
                <w:szCs w:val="22"/>
              </w:rPr>
              <w:t> </w:t>
            </w:r>
          </w:p>
        </w:tc>
        <w:tc>
          <w:tcPr>
            <w:tcW w:w="5528" w:type="dxa"/>
            <w:tcBorders>
              <w:top w:val="nil"/>
              <w:left w:val="nil"/>
              <w:bottom w:val="single" w:sz="4" w:space="0" w:color="auto"/>
              <w:right w:val="single" w:sz="4" w:space="0" w:color="auto"/>
            </w:tcBorders>
            <w:shd w:val="clear" w:color="auto" w:fill="auto"/>
            <w:vAlign w:val="bottom"/>
            <w:hideMark/>
          </w:tcPr>
          <w:p w14:paraId="3C4A6EB1" w14:textId="77777777" w:rsidR="002B432A" w:rsidRPr="002B432A" w:rsidRDefault="002B432A" w:rsidP="002B432A">
            <w:pPr>
              <w:rPr>
                <w:rFonts w:ascii="Arial" w:hAnsi="Arial" w:cs="Arial"/>
                <w:b/>
                <w:bCs/>
                <w:color w:val="000000"/>
                <w:sz w:val="22"/>
                <w:szCs w:val="22"/>
              </w:rPr>
            </w:pPr>
            <w:r w:rsidRPr="002B432A">
              <w:rPr>
                <w:rFonts w:ascii="Arial" w:hAnsi="Arial" w:cs="Arial"/>
                <w:b/>
                <w:bCs/>
                <w:color w:val="000000"/>
                <w:sz w:val="22"/>
                <w:szCs w:val="22"/>
              </w:rPr>
              <w:t>Risultato Netto</w:t>
            </w:r>
          </w:p>
        </w:tc>
        <w:tc>
          <w:tcPr>
            <w:tcW w:w="1640" w:type="dxa"/>
            <w:tcBorders>
              <w:top w:val="nil"/>
              <w:left w:val="nil"/>
              <w:bottom w:val="single" w:sz="4" w:space="0" w:color="auto"/>
              <w:right w:val="single" w:sz="4" w:space="0" w:color="auto"/>
            </w:tcBorders>
            <w:shd w:val="clear" w:color="auto" w:fill="auto"/>
            <w:noWrap/>
            <w:vAlign w:val="bottom"/>
            <w:hideMark/>
          </w:tcPr>
          <w:p w14:paraId="0E854EA6" w14:textId="77777777" w:rsidR="002B432A" w:rsidRPr="002B432A" w:rsidRDefault="002B432A" w:rsidP="002B432A">
            <w:pPr>
              <w:jc w:val="right"/>
              <w:rPr>
                <w:rFonts w:ascii="Arial" w:hAnsi="Arial" w:cs="Arial"/>
                <w:b/>
                <w:bCs/>
                <w:color w:val="000000"/>
                <w:sz w:val="22"/>
                <w:szCs w:val="22"/>
              </w:rPr>
            </w:pPr>
            <w:r w:rsidRPr="002B432A">
              <w:rPr>
                <w:rFonts w:ascii="Arial" w:hAnsi="Arial" w:cs="Arial"/>
                <w:b/>
                <w:bCs/>
                <w:color w:val="000000"/>
                <w:sz w:val="22"/>
                <w:szCs w:val="22"/>
              </w:rPr>
              <w:t>-1.936.375,41</w:t>
            </w:r>
          </w:p>
        </w:tc>
      </w:tr>
    </w:tbl>
    <w:p w14:paraId="18FDEDF9" w14:textId="77777777" w:rsidR="002B432A" w:rsidRDefault="002B432A">
      <w:pPr>
        <w:spacing w:line="312" w:lineRule="auto"/>
        <w:ind w:left="357"/>
        <w:jc w:val="both"/>
        <w:rPr>
          <w:rFonts w:ascii="Book Antiqua" w:hAnsi="Book Antiqua" w:cs="Arial"/>
          <w:sz w:val="24"/>
          <w:szCs w:val="24"/>
        </w:rPr>
      </w:pPr>
    </w:p>
    <w:p w14:paraId="12A5CCCA" w14:textId="77777777" w:rsidR="008F727D" w:rsidRDefault="008F727D">
      <w:pPr>
        <w:spacing w:line="312" w:lineRule="auto"/>
        <w:ind w:left="357"/>
        <w:jc w:val="both"/>
        <w:rPr>
          <w:rFonts w:ascii="Book Antiqua" w:hAnsi="Book Antiqua" w:cs="Arial"/>
          <w:sz w:val="24"/>
          <w:szCs w:val="24"/>
        </w:rPr>
      </w:pPr>
    </w:p>
    <w:p w14:paraId="7DAE13F5" w14:textId="77777777" w:rsidR="008F727D" w:rsidRDefault="00B71142">
      <w:pPr>
        <w:rPr>
          <w:rFonts w:ascii="Book Antiqua" w:hAnsi="Book Antiqua" w:cs="Arial"/>
          <w:sz w:val="24"/>
          <w:szCs w:val="24"/>
        </w:rPr>
      </w:pPr>
      <w:r>
        <w:rPr>
          <w:rFonts w:ascii="Book Antiqua" w:hAnsi="Book Antiqua" w:cs="Arial"/>
          <w:sz w:val="24"/>
          <w:szCs w:val="24"/>
        </w:rPr>
        <w:br w:type="page"/>
      </w:r>
    </w:p>
    <w:p w14:paraId="1A408F26" w14:textId="77777777" w:rsidR="008F727D" w:rsidRDefault="008F727D">
      <w:pPr>
        <w:spacing w:line="312" w:lineRule="auto"/>
        <w:ind w:left="357"/>
        <w:jc w:val="both"/>
        <w:rPr>
          <w:rFonts w:ascii="Book Antiqua" w:hAnsi="Book Antiqua" w:cs="Arial"/>
          <w:sz w:val="24"/>
          <w:szCs w:val="24"/>
        </w:rPr>
      </w:pPr>
    </w:p>
    <w:p w14:paraId="39C06312" w14:textId="77777777" w:rsidR="008F727D" w:rsidRDefault="00B71142">
      <w:pPr>
        <w:spacing w:line="312" w:lineRule="auto"/>
        <w:ind w:left="357"/>
        <w:jc w:val="both"/>
      </w:pPr>
      <w:r>
        <w:rPr>
          <w:rFonts w:ascii="Book Antiqua" w:hAnsi="Book Antiqua" w:cs="Arial"/>
          <w:sz w:val="24"/>
          <w:szCs w:val="24"/>
        </w:rPr>
        <w:t xml:space="preserve">Le quote di ammortamento sono determinate sulla base dei nuovi </w:t>
      </w:r>
      <w:r>
        <w:rPr>
          <w:rFonts w:ascii="Book Antiqua" w:hAnsi="Book Antiqua" w:cs="Arial"/>
          <w:sz w:val="24"/>
          <w:szCs w:val="24"/>
        </w:rPr>
        <w:t xml:space="preserve">coefficienti indicati al punto 4.18 del principio contabile applicato 4/3. Le quote d’ammortamento sono rilevate nel registro dei beni ammortizzabili. In particolare per i beni immobili si è ricostruita la consistenza finale netta e tutti gli incrementi e </w:t>
      </w:r>
      <w:r>
        <w:rPr>
          <w:rFonts w:ascii="Book Antiqua" w:hAnsi="Book Antiqua" w:cs="Arial"/>
          <w:sz w:val="24"/>
          <w:szCs w:val="24"/>
        </w:rPr>
        <w:t>decrementi degli esercizi passati ai fini dell'applicazione delle nuove percentuali di ammortamento e della distinzione sui vari fattori analitici.</w:t>
      </w:r>
      <w:r>
        <w:t xml:space="preserve"> </w:t>
      </w:r>
    </w:p>
    <w:p w14:paraId="24A58135" w14:textId="77777777" w:rsidR="008F727D" w:rsidRDefault="00B71142">
      <w:pPr>
        <w:spacing w:line="312" w:lineRule="auto"/>
        <w:ind w:left="357"/>
        <w:jc w:val="both"/>
        <w:rPr>
          <w:rFonts w:ascii="Book Antiqua" w:hAnsi="Book Antiqua"/>
          <w:sz w:val="24"/>
          <w:szCs w:val="24"/>
        </w:rPr>
      </w:pPr>
      <w:r>
        <w:rPr>
          <w:rFonts w:ascii="Book Antiqua" w:hAnsi="Book Antiqua"/>
          <w:sz w:val="24"/>
          <w:szCs w:val="24"/>
        </w:rPr>
        <w:t>Si sono applicate le</w:t>
      </w:r>
      <w:r>
        <w:rPr>
          <w:rFonts w:ascii="Book Antiqua" w:hAnsi="Book Antiqua"/>
        </w:rPr>
        <w:t xml:space="preserve"> </w:t>
      </w:r>
      <w:r>
        <w:rPr>
          <w:rFonts w:ascii="Book Antiqua" w:hAnsi="Book Antiqua"/>
          <w:sz w:val="24"/>
          <w:szCs w:val="24"/>
        </w:rPr>
        <w:t>percentuali del 2% sui fabbricati (sia scolastici che istituzionali) e del 3% sulle in</w:t>
      </w:r>
      <w:r>
        <w:rPr>
          <w:rFonts w:ascii="Book Antiqua" w:hAnsi="Book Antiqua"/>
          <w:sz w:val="24"/>
          <w:szCs w:val="24"/>
        </w:rPr>
        <w:t>frastrutture corrispondenti alle strade.</w:t>
      </w:r>
    </w:p>
    <w:p w14:paraId="7C5A95A8" w14:textId="77777777" w:rsidR="008F727D" w:rsidRDefault="00B71142">
      <w:pPr>
        <w:spacing w:line="312" w:lineRule="auto"/>
        <w:ind w:left="357"/>
        <w:jc w:val="both"/>
        <w:rPr>
          <w:rFonts w:ascii="Book Antiqua" w:hAnsi="Book Antiqua"/>
          <w:sz w:val="24"/>
          <w:szCs w:val="24"/>
        </w:rPr>
      </w:pPr>
      <w:r>
        <w:rPr>
          <w:rFonts w:ascii="Book Antiqua" w:hAnsi="Book Antiqua"/>
          <w:sz w:val="24"/>
          <w:szCs w:val="24"/>
        </w:rPr>
        <w:t xml:space="preserve">Le quote di ammortamento rilevate negli ultimi tre esercizi sono le seguenti: </w:t>
      </w:r>
    </w:p>
    <w:p w14:paraId="3A2C5235" w14:textId="77777777" w:rsidR="008F727D" w:rsidRDefault="008F727D">
      <w:pPr>
        <w:spacing w:line="312" w:lineRule="auto"/>
        <w:ind w:left="357"/>
        <w:jc w:val="both"/>
        <w:rPr>
          <w:rFonts w:ascii="Book Antiqua" w:hAnsi="Book Antiqua"/>
          <w:sz w:val="24"/>
          <w:szCs w:val="24"/>
        </w:rPr>
      </w:pPr>
    </w:p>
    <w:tbl>
      <w:tblPr>
        <w:tblW w:w="5807" w:type="dxa"/>
        <w:jc w:val="center"/>
        <w:tblCellMar>
          <w:left w:w="70" w:type="dxa"/>
          <w:right w:w="70" w:type="dxa"/>
        </w:tblCellMar>
        <w:tblLook w:val="04A0" w:firstRow="1" w:lastRow="0" w:firstColumn="1" w:lastColumn="0" w:noHBand="0" w:noVBand="1"/>
      </w:tblPr>
      <w:tblGrid>
        <w:gridCol w:w="1980"/>
        <w:gridCol w:w="1843"/>
        <w:gridCol w:w="1984"/>
      </w:tblGrid>
      <w:tr w:rsidR="00EC350B" w:rsidRPr="00EC350B" w14:paraId="6D53B3A9" w14:textId="77777777" w:rsidTr="00EC350B">
        <w:trPr>
          <w:trHeight w:val="310"/>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22A6" w14:textId="77777777" w:rsidR="00EC350B" w:rsidRPr="00EC350B" w:rsidRDefault="00EC350B" w:rsidP="00EC350B">
            <w:pPr>
              <w:jc w:val="center"/>
              <w:rPr>
                <w:rFonts w:ascii="Arial" w:hAnsi="Arial" w:cs="Arial"/>
                <w:color w:val="000000"/>
                <w:sz w:val="24"/>
                <w:szCs w:val="24"/>
              </w:rPr>
            </w:pPr>
            <w:r w:rsidRPr="00EC350B">
              <w:rPr>
                <w:rFonts w:ascii="Arial" w:hAnsi="Arial" w:cs="Arial"/>
                <w:color w:val="000000"/>
                <w:sz w:val="24"/>
                <w:szCs w:val="24"/>
              </w:rPr>
              <w:t>Anno 2020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5FFAF9" w14:textId="77777777" w:rsidR="00EC350B" w:rsidRPr="00EC350B" w:rsidRDefault="00EC350B" w:rsidP="00EC350B">
            <w:pPr>
              <w:jc w:val="center"/>
              <w:rPr>
                <w:rFonts w:ascii="Arial" w:hAnsi="Arial" w:cs="Arial"/>
                <w:color w:val="000000"/>
                <w:sz w:val="24"/>
                <w:szCs w:val="24"/>
              </w:rPr>
            </w:pPr>
            <w:r w:rsidRPr="00EC350B">
              <w:rPr>
                <w:rFonts w:ascii="Arial" w:hAnsi="Arial" w:cs="Arial"/>
                <w:color w:val="000000"/>
                <w:sz w:val="24"/>
                <w:szCs w:val="24"/>
              </w:rPr>
              <w:t>Anno 2021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A2BCC92" w14:textId="77777777" w:rsidR="00EC350B" w:rsidRPr="00EC350B" w:rsidRDefault="00EC350B" w:rsidP="00EC350B">
            <w:pPr>
              <w:jc w:val="center"/>
              <w:rPr>
                <w:rFonts w:ascii="Arial" w:hAnsi="Arial" w:cs="Arial"/>
                <w:color w:val="000000"/>
                <w:sz w:val="24"/>
                <w:szCs w:val="24"/>
              </w:rPr>
            </w:pPr>
            <w:r w:rsidRPr="00EC350B">
              <w:rPr>
                <w:rFonts w:ascii="Arial" w:hAnsi="Arial" w:cs="Arial"/>
                <w:color w:val="000000"/>
                <w:sz w:val="24"/>
                <w:szCs w:val="24"/>
              </w:rPr>
              <w:t>Anno 2022</w:t>
            </w:r>
          </w:p>
        </w:tc>
      </w:tr>
      <w:tr w:rsidR="00EC350B" w:rsidRPr="00EC350B" w14:paraId="568FDBF6" w14:textId="77777777" w:rsidTr="00EC350B">
        <w:trPr>
          <w:trHeight w:val="620"/>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F204432" w14:textId="77777777" w:rsidR="00EC350B" w:rsidRPr="00EC350B" w:rsidRDefault="00EC350B" w:rsidP="00EC350B">
            <w:pPr>
              <w:jc w:val="right"/>
              <w:rPr>
                <w:rFonts w:ascii="Arial" w:hAnsi="Arial" w:cs="Arial"/>
                <w:color w:val="000000"/>
                <w:sz w:val="24"/>
                <w:szCs w:val="24"/>
              </w:rPr>
            </w:pPr>
            <w:r w:rsidRPr="00EC350B">
              <w:rPr>
                <w:rFonts w:ascii="Arial" w:hAnsi="Arial" w:cs="Arial"/>
                <w:color w:val="000000"/>
                <w:sz w:val="24"/>
                <w:szCs w:val="24"/>
              </w:rPr>
              <w:t>2.409,50</w:t>
            </w:r>
          </w:p>
        </w:tc>
        <w:tc>
          <w:tcPr>
            <w:tcW w:w="1843" w:type="dxa"/>
            <w:tcBorders>
              <w:top w:val="nil"/>
              <w:left w:val="nil"/>
              <w:bottom w:val="single" w:sz="4" w:space="0" w:color="auto"/>
              <w:right w:val="single" w:sz="4" w:space="0" w:color="auto"/>
            </w:tcBorders>
            <w:shd w:val="clear" w:color="auto" w:fill="auto"/>
            <w:noWrap/>
            <w:vAlign w:val="center"/>
            <w:hideMark/>
          </w:tcPr>
          <w:p w14:paraId="53E4F7EC" w14:textId="77777777" w:rsidR="00EC350B" w:rsidRPr="00EC350B" w:rsidRDefault="00EC350B" w:rsidP="00EC350B">
            <w:pPr>
              <w:jc w:val="right"/>
              <w:rPr>
                <w:rFonts w:ascii="Arial" w:hAnsi="Arial" w:cs="Arial"/>
                <w:color w:val="000000"/>
                <w:sz w:val="24"/>
                <w:szCs w:val="24"/>
              </w:rPr>
            </w:pPr>
            <w:r w:rsidRPr="00EC350B">
              <w:rPr>
                <w:rFonts w:ascii="Arial" w:hAnsi="Arial" w:cs="Arial"/>
                <w:color w:val="000000"/>
                <w:sz w:val="24"/>
                <w:szCs w:val="24"/>
              </w:rPr>
              <w:t>732,00</w:t>
            </w:r>
          </w:p>
        </w:tc>
        <w:tc>
          <w:tcPr>
            <w:tcW w:w="1984" w:type="dxa"/>
            <w:tcBorders>
              <w:top w:val="nil"/>
              <w:left w:val="nil"/>
              <w:bottom w:val="single" w:sz="4" w:space="0" w:color="auto"/>
              <w:right w:val="single" w:sz="4" w:space="0" w:color="auto"/>
            </w:tcBorders>
            <w:shd w:val="clear" w:color="auto" w:fill="auto"/>
            <w:noWrap/>
            <w:vAlign w:val="center"/>
            <w:hideMark/>
          </w:tcPr>
          <w:p w14:paraId="1207F6B3" w14:textId="77777777" w:rsidR="00EC350B" w:rsidRPr="00EC350B" w:rsidRDefault="00EC350B" w:rsidP="00EC350B">
            <w:pPr>
              <w:jc w:val="right"/>
              <w:rPr>
                <w:rFonts w:ascii="Arial" w:hAnsi="Arial" w:cs="Arial"/>
                <w:color w:val="000000"/>
                <w:sz w:val="24"/>
                <w:szCs w:val="24"/>
              </w:rPr>
            </w:pPr>
            <w:r w:rsidRPr="00EC350B">
              <w:rPr>
                <w:rFonts w:ascii="Arial" w:hAnsi="Arial" w:cs="Arial"/>
                <w:color w:val="000000"/>
                <w:sz w:val="24"/>
                <w:szCs w:val="24"/>
              </w:rPr>
              <w:t>732,00</w:t>
            </w:r>
          </w:p>
        </w:tc>
      </w:tr>
    </w:tbl>
    <w:p w14:paraId="41C1FD2C" w14:textId="77777777" w:rsidR="00EC350B" w:rsidRDefault="00EC350B">
      <w:pPr>
        <w:spacing w:line="312" w:lineRule="auto"/>
        <w:ind w:left="357"/>
        <w:jc w:val="both"/>
        <w:rPr>
          <w:rFonts w:ascii="Book Antiqua" w:hAnsi="Book Antiqua"/>
          <w:sz w:val="24"/>
          <w:szCs w:val="24"/>
        </w:rPr>
      </w:pPr>
    </w:p>
    <w:p w14:paraId="3C53C2C6" w14:textId="67F0CB57" w:rsidR="008F727D" w:rsidRDefault="00B71142">
      <w:pPr>
        <w:spacing w:line="312" w:lineRule="auto"/>
        <w:ind w:left="357"/>
        <w:jc w:val="both"/>
        <w:rPr>
          <w:rFonts w:ascii="Book Antiqua" w:hAnsi="Book Antiqua"/>
          <w:sz w:val="24"/>
          <w:szCs w:val="24"/>
        </w:rPr>
      </w:pPr>
      <w:r>
        <w:rPr>
          <w:rFonts w:ascii="Book Antiqua" w:hAnsi="Book Antiqua"/>
          <w:sz w:val="24"/>
          <w:szCs w:val="24"/>
        </w:rPr>
        <w:t>Per quanto riguarda la voce E) Proventi ed oneri straordinari, pari a totali +</w:t>
      </w:r>
      <w:r w:rsidR="00EC350B">
        <w:rPr>
          <w:rFonts w:ascii="Book Antiqua" w:hAnsi="Book Antiqua"/>
          <w:sz w:val="24"/>
          <w:szCs w:val="24"/>
        </w:rPr>
        <w:t xml:space="preserve"> </w:t>
      </w:r>
      <w:r>
        <w:rPr>
          <w:rFonts w:ascii="Book Antiqua" w:hAnsi="Book Antiqua"/>
          <w:sz w:val="24"/>
          <w:szCs w:val="24"/>
        </w:rPr>
        <w:t>€</w:t>
      </w:r>
      <w:r w:rsidR="00EC350B">
        <w:rPr>
          <w:rFonts w:ascii="Book Antiqua" w:hAnsi="Book Antiqua"/>
          <w:sz w:val="24"/>
          <w:szCs w:val="24"/>
        </w:rPr>
        <w:t xml:space="preserve"> </w:t>
      </w:r>
      <w:r w:rsidR="00EC350B" w:rsidRPr="00EC350B">
        <w:rPr>
          <w:rFonts w:ascii="Book Antiqua" w:hAnsi="Book Antiqua"/>
          <w:sz w:val="24"/>
          <w:szCs w:val="24"/>
        </w:rPr>
        <w:t>19.511,43</w:t>
      </w:r>
      <w:r>
        <w:rPr>
          <w:rFonts w:ascii="Book Antiqua" w:hAnsi="Book Antiqua"/>
          <w:sz w:val="24"/>
          <w:szCs w:val="24"/>
        </w:rPr>
        <w:t>, si fornisce il dettaglio dei valori indicati:</w:t>
      </w:r>
    </w:p>
    <w:p w14:paraId="7463EBD6" w14:textId="77777777" w:rsidR="008F727D" w:rsidRDefault="008F727D">
      <w:pPr>
        <w:spacing w:line="312" w:lineRule="auto"/>
        <w:ind w:left="357"/>
        <w:jc w:val="both"/>
        <w:rPr>
          <w:rFonts w:ascii="Book Antiqua" w:hAnsi="Book Antiqua"/>
          <w:sz w:val="24"/>
          <w:szCs w:val="24"/>
        </w:rPr>
      </w:pPr>
    </w:p>
    <w:p w14:paraId="385B5CA4" w14:textId="1918BAD9" w:rsidR="008F727D" w:rsidRDefault="00B71142">
      <w:pPr>
        <w:pStyle w:val="Paragrafoelenco"/>
        <w:numPr>
          <w:ilvl w:val="0"/>
          <w:numId w:val="13"/>
        </w:numPr>
        <w:spacing w:line="312" w:lineRule="auto"/>
        <w:jc w:val="both"/>
        <w:rPr>
          <w:rFonts w:ascii="Book Antiqua" w:hAnsi="Book Antiqua"/>
          <w:sz w:val="24"/>
          <w:szCs w:val="24"/>
        </w:rPr>
      </w:pPr>
      <w:r>
        <w:rPr>
          <w:rFonts w:ascii="Book Antiqua" w:hAnsi="Book Antiqua"/>
          <w:sz w:val="24"/>
          <w:szCs w:val="24"/>
        </w:rPr>
        <w:t>Proventi straordinari, per complessivi €</w:t>
      </w:r>
      <w:r w:rsidR="00EC350B">
        <w:rPr>
          <w:rFonts w:ascii="Book Antiqua" w:hAnsi="Book Antiqua"/>
          <w:sz w:val="24"/>
          <w:szCs w:val="24"/>
        </w:rPr>
        <w:t xml:space="preserve"> </w:t>
      </w:r>
      <w:r w:rsidR="00EC350B" w:rsidRPr="00EC350B">
        <w:rPr>
          <w:rFonts w:ascii="Book Antiqua" w:hAnsi="Book Antiqua"/>
          <w:sz w:val="24"/>
          <w:szCs w:val="24"/>
        </w:rPr>
        <w:t>19.511,43</w:t>
      </w:r>
      <w:r w:rsidR="00EC350B">
        <w:rPr>
          <w:rFonts w:ascii="Book Antiqua" w:hAnsi="Book Antiqua"/>
          <w:sz w:val="24"/>
          <w:szCs w:val="24"/>
        </w:rPr>
        <w:t>: si riferiscono interamente ed esclusivamente a minori residui passivi riaccertati nel conto del bilancio;</w:t>
      </w:r>
    </w:p>
    <w:p w14:paraId="51E09960" w14:textId="77777777" w:rsidR="008F727D" w:rsidRDefault="008F727D">
      <w:pPr>
        <w:spacing w:line="312" w:lineRule="auto"/>
        <w:jc w:val="both"/>
        <w:rPr>
          <w:rFonts w:ascii="Book Antiqua" w:hAnsi="Book Antiqua"/>
          <w:sz w:val="24"/>
          <w:szCs w:val="24"/>
        </w:rPr>
      </w:pPr>
    </w:p>
    <w:p w14:paraId="33484606" w14:textId="21A99181" w:rsidR="008F727D" w:rsidRPr="00EC350B" w:rsidRDefault="00B71142" w:rsidP="00EC350B">
      <w:pPr>
        <w:pStyle w:val="Paragrafoelenco"/>
        <w:numPr>
          <w:ilvl w:val="0"/>
          <w:numId w:val="13"/>
        </w:numPr>
        <w:spacing w:line="312" w:lineRule="auto"/>
        <w:jc w:val="both"/>
        <w:rPr>
          <w:rFonts w:ascii="Book Antiqua" w:hAnsi="Book Antiqua"/>
          <w:sz w:val="24"/>
          <w:szCs w:val="24"/>
        </w:rPr>
      </w:pPr>
      <w:r>
        <w:rPr>
          <w:rFonts w:ascii="Book Antiqua" w:hAnsi="Book Antiqua"/>
          <w:sz w:val="24"/>
          <w:szCs w:val="24"/>
        </w:rPr>
        <w:t>Oneri straordinari, per complessivi €</w:t>
      </w:r>
      <w:r>
        <w:rPr>
          <w:rFonts w:ascii="Book Antiqua" w:hAnsi="Book Antiqua"/>
          <w:sz w:val="24"/>
          <w:szCs w:val="24"/>
        </w:rPr>
        <w:t xml:space="preserve"> </w:t>
      </w:r>
      <w:r w:rsidR="00EC350B">
        <w:rPr>
          <w:rFonts w:ascii="Book Antiqua" w:hAnsi="Book Antiqua"/>
          <w:sz w:val="24"/>
          <w:szCs w:val="24"/>
        </w:rPr>
        <w:t>0,00.</w:t>
      </w:r>
    </w:p>
    <w:sectPr w:rsidR="008F727D" w:rsidRPr="00EC350B" w:rsidSect="005C0F43">
      <w:headerReference w:type="default" r:id="rId9"/>
      <w:footerReference w:type="default" r:id="rId10"/>
      <w:footnotePr>
        <w:numStart w:val="2"/>
      </w:footnotePr>
      <w:pgSz w:w="11907" w:h="16840" w:code="9"/>
      <w:pgMar w:top="720" w:right="720" w:bottom="720" w:left="720" w:header="720" w:footer="567" w:gutter="0"/>
      <w:pgNumType w:start="1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D1B09" w14:textId="77777777" w:rsidR="007E5169" w:rsidRDefault="007E5169">
      <w:pPr>
        <w:rPr>
          <w:sz w:val="15"/>
          <w:szCs w:val="15"/>
        </w:rPr>
      </w:pPr>
      <w:r>
        <w:rPr>
          <w:sz w:val="15"/>
          <w:szCs w:val="15"/>
        </w:rPr>
        <w:separator/>
      </w:r>
    </w:p>
  </w:endnote>
  <w:endnote w:type="continuationSeparator" w:id="0">
    <w:p w14:paraId="38974CD9" w14:textId="77777777" w:rsidR="007E5169" w:rsidRDefault="007E5169">
      <w:pPr>
        <w:rPr>
          <w:sz w:val="15"/>
          <w:szCs w:val="15"/>
        </w:rPr>
      </w:pPr>
      <w:r>
        <w:rPr>
          <w:sz w:val="15"/>
          <w:szCs w:val="15"/>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401171"/>
      <w:docPartObj>
        <w:docPartGallery w:val="Page Numbers (Bottom of Page)"/>
        <w:docPartUnique/>
      </w:docPartObj>
    </w:sdtPr>
    <w:sdtEndPr/>
    <w:sdtContent>
      <w:p w14:paraId="618535D3" w14:textId="77777777" w:rsidR="008F727D" w:rsidRDefault="00B71142">
        <w:pPr>
          <w:pStyle w:val="Pidipagina"/>
          <w:jc w:val="right"/>
        </w:pPr>
        <w:r>
          <w:fldChar w:fldCharType="begin"/>
        </w:r>
        <w:r>
          <w:instrText>PAGE   \* MERGEFORMAT</w:instrText>
        </w:r>
        <w:r>
          <w:fldChar w:fldCharType="separate"/>
        </w:r>
        <w:r>
          <w:rPr>
            <w:noProof/>
          </w:rPr>
          <w:t>12</w:t>
        </w:r>
        <w:r>
          <w:fldChar w:fldCharType="end"/>
        </w:r>
      </w:p>
    </w:sdtContent>
  </w:sdt>
  <w:p w14:paraId="4E6EC674" w14:textId="77777777" w:rsidR="008F727D" w:rsidRDefault="008F72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BB899" w14:textId="77777777" w:rsidR="007E5169" w:rsidRDefault="007E5169">
      <w:pPr>
        <w:rPr>
          <w:sz w:val="15"/>
          <w:szCs w:val="15"/>
        </w:rPr>
      </w:pPr>
      <w:r>
        <w:rPr>
          <w:sz w:val="15"/>
          <w:szCs w:val="15"/>
        </w:rPr>
        <w:separator/>
      </w:r>
    </w:p>
  </w:footnote>
  <w:footnote w:type="continuationSeparator" w:id="0">
    <w:p w14:paraId="03375824" w14:textId="77777777" w:rsidR="007E5169" w:rsidRDefault="007E5169">
      <w:pPr>
        <w:rPr>
          <w:sz w:val="15"/>
          <w:szCs w:val="15"/>
        </w:rPr>
      </w:pPr>
      <w:r>
        <w:rPr>
          <w:sz w:val="15"/>
          <w:szCs w:val="15"/>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CA955" w14:textId="77777777" w:rsidR="002B432A" w:rsidRDefault="002B432A" w:rsidP="002B432A">
    <w:pPr>
      <w:pStyle w:val="Intestazione"/>
      <w:jc w:val="center"/>
      <w:rPr>
        <w:rFonts w:ascii="Tahoma" w:hAnsi="Tahoma" w:cs="Tahoma"/>
        <w:b/>
        <w:sz w:val="36"/>
      </w:rPr>
    </w:pPr>
    <w:r>
      <w:rPr>
        <w:rFonts w:ascii="Tahoma" w:hAnsi="Tahoma" w:cs="Tahoma"/>
        <w:b/>
        <w:sz w:val="36"/>
      </w:rPr>
      <w:t>Agenzia per il Trasporto Pubblico Locale</w:t>
    </w:r>
  </w:p>
  <w:p w14:paraId="2F7B1E59" w14:textId="15FDC67A" w:rsidR="008F727D" w:rsidRPr="002B432A" w:rsidRDefault="002B432A" w:rsidP="002B432A">
    <w:pPr>
      <w:pStyle w:val="Intestazione"/>
      <w:jc w:val="center"/>
      <w:rPr>
        <w:rFonts w:ascii="Tahoma" w:hAnsi="Tahoma" w:cs="Tahoma"/>
        <w:b/>
        <w:sz w:val="36"/>
      </w:rPr>
    </w:pPr>
    <w:r>
      <w:rPr>
        <w:rFonts w:ascii="Tahoma" w:hAnsi="Tahoma" w:cs="Tahoma"/>
        <w:b/>
        <w:sz w:val="36"/>
      </w:rPr>
      <w:t>(Agenzia T.P.L. Cremona – Mantova)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138A7"/>
    <w:multiLevelType w:val="hybridMultilevel"/>
    <w:tmpl w:val="E1AC0788"/>
    <w:lvl w:ilvl="0" w:tplc="57D89566">
      <w:numFmt w:val="bullet"/>
      <w:lvlText w:val="-"/>
      <w:lvlJc w:val="left"/>
      <w:pPr>
        <w:ind w:left="2496" w:hanging="360"/>
      </w:pPr>
      <w:rPr>
        <w:rFonts w:ascii="Trebuchet MS" w:eastAsia="Times New Roman" w:hAnsi="Trebuchet MS" w:cs="Times New Roman" w:hint="default"/>
      </w:rPr>
    </w:lvl>
    <w:lvl w:ilvl="1" w:tplc="04100003" w:tentative="1">
      <w:start w:val="1"/>
      <w:numFmt w:val="bullet"/>
      <w:lvlText w:val="o"/>
      <w:lvlJc w:val="left"/>
      <w:pPr>
        <w:ind w:left="3216" w:hanging="360"/>
      </w:pPr>
      <w:rPr>
        <w:rFonts w:ascii="Courier New" w:hAnsi="Courier New" w:cs="Courier New" w:hint="default"/>
      </w:rPr>
    </w:lvl>
    <w:lvl w:ilvl="2" w:tplc="04100005" w:tentative="1">
      <w:start w:val="1"/>
      <w:numFmt w:val="bullet"/>
      <w:lvlText w:val=""/>
      <w:lvlJc w:val="left"/>
      <w:pPr>
        <w:ind w:left="3936" w:hanging="360"/>
      </w:pPr>
      <w:rPr>
        <w:rFonts w:ascii="Wingdings" w:hAnsi="Wingdings" w:hint="default"/>
      </w:rPr>
    </w:lvl>
    <w:lvl w:ilvl="3" w:tplc="04100001" w:tentative="1">
      <w:start w:val="1"/>
      <w:numFmt w:val="bullet"/>
      <w:lvlText w:val=""/>
      <w:lvlJc w:val="left"/>
      <w:pPr>
        <w:ind w:left="4656" w:hanging="360"/>
      </w:pPr>
      <w:rPr>
        <w:rFonts w:ascii="Symbol" w:hAnsi="Symbol" w:hint="default"/>
      </w:rPr>
    </w:lvl>
    <w:lvl w:ilvl="4" w:tplc="04100003" w:tentative="1">
      <w:start w:val="1"/>
      <w:numFmt w:val="bullet"/>
      <w:lvlText w:val="o"/>
      <w:lvlJc w:val="left"/>
      <w:pPr>
        <w:ind w:left="5376" w:hanging="360"/>
      </w:pPr>
      <w:rPr>
        <w:rFonts w:ascii="Courier New" w:hAnsi="Courier New" w:cs="Courier New" w:hint="default"/>
      </w:rPr>
    </w:lvl>
    <w:lvl w:ilvl="5" w:tplc="04100005" w:tentative="1">
      <w:start w:val="1"/>
      <w:numFmt w:val="bullet"/>
      <w:lvlText w:val=""/>
      <w:lvlJc w:val="left"/>
      <w:pPr>
        <w:ind w:left="6096" w:hanging="360"/>
      </w:pPr>
      <w:rPr>
        <w:rFonts w:ascii="Wingdings" w:hAnsi="Wingdings" w:hint="default"/>
      </w:rPr>
    </w:lvl>
    <w:lvl w:ilvl="6" w:tplc="04100001" w:tentative="1">
      <w:start w:val="1"/>
      <w:numFmt w:val="bullet"/>
      <w:lvlText w:val=""/>
      <w:lvlJc w:val="left"/>
      <w:pPr>
        <w:ind w:left="6816" w:hanging="360"/>
      </w:pPr>
      <w:rPr>
        <w:rFonts w:ascii="Symbol" w:hAnsi="Symbol" w:hint="default"/>
      </w:rPr>
    </w:lvl>
    <w:lvl w:ilvl="7" w:tplc="04100003" w:tentative="1">
      <w:start w:val="1"/>
      <w:numFmt w:val="bullet"/>
      <w:lvlText w:val="o"/>
      <w:lvlJc w:val="left"/>
      <w:pPr>
        <w:ind w:left="7536" w:hanging="360"/>
      </w:pPr>
      <w:rPr>
        <w:rFonts w:ascii="Courier New" w:hAnsi="Courier New" w:cs="Courier New" w:hint="default"/>
      </w:rPr>
    </w:lvl>
    <w:lvl w:ilvl="8" w:tplc="04100005" w:tentative="1">
      <w:start w:val="1"/>
      <w:numFmt w:val="bullet"/>
      <w:lvlText w:val=""/>
      <w:lvlJc w:val="left"/>
      <w:pPr>
        <w:ind w:left="8256" w:hanging="360"/>
      </w:pPr>
      <w:rPr>
        <w:rFonts w:ascii="Wingdings" w:hAnsi="Wingdings" w:hint="default"/>
      </w:rPr>
    </w:lvl>
  </w:abstractNum>
  <w:abstractNum w:abstractNumId="1">
    <w:nsid w:val="11B44924"/>
    <w:multiLevelType w:val="hybridMultilevel"/>
    <w:tmpl w:val="7ED40D3C"/>
    <w:lvl w:ilvl="0" w:tplc="D3563A2A">
      <w:start w:val="1"/>
      <w:numFmt w:val="decimal"/>
      <w:lvlText w:val="%1."/>
      <w:lvlJc w:val="left"/>
      <w:pPr>
        <w:tabs>
          <w:tab w:val="num" w:pos="567"/>
        </w:tabs>
        <w:ind w:left="567" w:firstLine="0"/>
      </w:pPr>
      <w:rPr>
        <w:rFonts w:hint="default"/>
      </w:rPr>
    </w:lvl>
    <w:lvl w:ilvl="1" w:tplc="04100019">
      <w:start w:val="1"/>
      <w:numFmt w:val="lowerLetter"/>
      <w:lvlText w:val="%2."/>
      <w:lvlJc w:val="left"/>
      <w:pPr>
        <w:tabs>
          <w:tab w:val="num" w:pos="2148"/>
        </w:tabs>
        <w:ind w:left="2148" w:hanging="360"/>
      </w:pPr>
    </w:lvl>
    <w:lvl w:ilvl="2" w:tplc="0410001B">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2">
    <w:nsid w:val="1301418C"/>
    <w:multiLevelType w:val="hybridMultilevel"/>
    <w:tmpl w:val="B9243CE0"/>
    <w:lvl w:ilvl="0" w:tplc="80F2376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3556547"/>
    <w:multiLevelType w:val="hybridMultilevel"/>
    <w:tmpl w:val="706EB3EA"/>
    <w:lvl w:ilvl="0" w:tplc="63BCA006">
      <w:start w:val="1"/>
      <w:numFmt w:val="lowerLetter"/>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4">
    <w:nsid w:val="27FC349E"/>
    <w:multiLevelType w:val="hybridMultilevel"/>
    <w:tmpl w:val="3CDE6E6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2A3E3E9D"/>
    <w:multiLevelType w:val="hybridMultilevel"/>
    <w:tmpl w:val="9F36489A"/>
    <w:lvl w:ilvl="0" w:tplc="F0F44086">
      <w:numFmt w:val="bullet"/>
      <w:lvlText w:val="-"/>
      <w:lvlJc w:val="left"/>
      <w:pPr>
        <w:tabs>
          <w:tab w:val="num" w:pos="1578"/>
        </w:tabs>
        <w:ind w:left="1578" w:hanging="870"/>
      </w:pPr>
      <w:rPr>
        <w:rFonts w:ascii="Arial" w:eastAsia="Times New Roman" w:hAnsi="Arial" w:cs="Arial"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6">
    <w:nsid w:val="2A455BA5"/>
    <w:multiLevelType w:val="hybridMultilevel"/>
    <w:tmpl w:val="2DD00F18"/>
    <w:lvl w:ilvl="0" w:tplc="8A50C282">
      <w:start w:val="1"/>
      <w:numFmt w:val="bullet"/>
      <w:lvlText w:val="▪"/>
      <w:lvlJc w:val="left"/>
      <w:pPr>
        <w:tabs>
          <w:tab w:val="num" w:pos="567"/>
        </w:tabs>
        <w:ind w:left="567" w:hanging="283"/>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7">
    <w:nsid w:val="327D1809"/>
    <w:multiLevelType w:val="hybridMultilevel"/>
    <w:tmpl w:val="AE00E3D6"/>
    <w:lvl w:ilvl="0" w:tplc="0410000B">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8">
    <w:nsid w:val="37C673C1"/>
    <w:multiLevelType w:val="multilevel"/>
    <w:tmpl w:val="3CE6C932"/>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9">
    <w:nsid w:val="40891A91"/>
    <w:multiLevelType w:val="hybridMultilevel"/>
    <w:tmpl w:val="570CD89A"/>
    <w:lvl w:ilvl="0" w:tplc="36828566">
      <w:start w:val="1"/>
      <w:numFmt w:val="lowerLetter"/>
      <w:lvlText w:val="%1)"/>
      <w:lvlJc w:val="left"/>
      <w:pPr>
        <w:tabs>
          <w:tab w:val="num" w:pos="1569"/>
        </w:tabs>
        <w:ind w:left="1569" w:hanging="540"/>
      </w:pPr>
      <w:rPr>
        <w:rFonts w:hint="default"/>
      </w:rPr>
    </w:lvl>
    <w:lvl w:ilvl="1" w:tplc="022EF17E" w:tentative="1">
      <w:start w:val="1"/>
      <w:numFmt w:val="lowerLetter"/>
      <w:lvlText w:val="%2."/>
      <w:lvlJc w:val="left"/>
      <w:pPr>
        <w:tabs>
          <w:tab w:val="num" w:pos="2109"/>
        </w:tabs>
        <w:ind w:left="2109" w:hanging="360"/>
      </w:pPr>
    </w:lvl>
    <w:lvl w:ilvl="2" w:tplc="1B5E6D38" w:tentative="1">
      <w:start w:val="1"/>
      <w:numFmt w:val="lowerRoman"/>
      <w:lvlText w:val="%3."/>
      <w:lvlJc w:val="right"/>
      <w:pPr>
        <w:tabs>
          <w:tab w:val="num" w:pos="2829"/>
        </w:tabs>
        <w:ind w:left="2829" w:hanging="180"/>
      </w:pPr>
    </w:lvl>
    <w:lvl w:ilvl="3" w:tplc="5B2E8F8A" w:tentative="1">
      <w:start w:val="1"/>
      <w:numFmt w:val="decimal"/>
      <w:lvlText w:val="%4."/>
      <w:lvlJc w:val="left"/>
      <w:pPr>
        <w:tabs>
          <w:tab w:val="num" w:pos="3549"/>
        </w:tabs>
        <w:ind w:left="3549" w:hanging="360"/>
      </w:pPr>
    </w:lvl>
    <w:lvl w:ilvl="4" w:tplc="39FCE4D6" w:tentative="1">
      <w:start w:val="1"/>
      <w:numFmt w:val="lowerLetter"/>
      <w:lvlText w:val="%5."/>
      <w:lvlJc w:val="left"/>
      <w:pPr>
        <w:tabs>
          <w:tab w:val="num" w:pos="4269"/>
        </w:tabs>
        <w:ind w:left="4269" w:hanging="360"/>
      </w:pPr>
    </w:lvl>
    <w:lvl w:ilvl="5" w:tplc="63CE44BE" w:tentative="1">
      <w:start w:val="1"/>
      <w:numFmt w:val="lowerRoman"/>
      <w:lvlText w:val="%6."/>
      <w:lvlJc w:val="right"/>
      <w:pPr>
        <w:tabs>
          <w:tab w:val="num" w:pos="4989"/>
        </w:tabs>
        <w:ind w:left="4989" w:hanging="180"/>
      </w:pPr>
    </w:lvl>
    <w:lvl w:ilvl="6" w:tplc="B4FCAEEA" w:tentative="1">
      <w:start w:val="1"/>
      <w:numFmt w:val="decimal"/>
      <w:lvlText w:val="%7."/>
      <w:lvlJc w:val="left"/>
      <w:pPr>
        <w:tabs>
          <w:tab w:val="num" w:pos="5709"/>
        </w:tabs>
        <w:ind w:left="5709" w:hanging="360"/>
      </w:pPr>
    </w:lvl>
    <w:lvl w:ilvl="7" w:tplc="EADED066" w:tentative="1">
      <w:start w:val="1"/>
      <w:numFmt w:val="lowerLetter"/>
      <w:lvlText w:val="%8."/>
      <w:lvlJc w:val="left"/>
      <w:pPr>
        <w:tabs>
          <w:tab w:val="num" w:pos="6429"/>
        </w:tabs>
        <w:ind w:left="6429" w:hanging="360"/>
      </w:pPr>
    </w:lvl>
    <w:lvl w:ilvl="8" w:tplc="89BC7D9C" w:tentative="1">
      <w:start w:val="1"/>
      <w:numFmt w:val="lowerRoman"/>
      <w:lvlText w:val="%9."/>
      <w:lvlJc w:val="right"/>
      <w:pPr>
        <w:tabs>
          <w:tab w:val="num" w:pos="7149"/>
        </w:tabs>
        <w:ind w:left="7149" w:hanging="180"/>
      </w:pPr>
    </w:lvl>
  </w:abstractNum>
  <w:abstractNum w:abstractNumId="10">
    <w:nsid w:val="408C0139"/>
    <w:multiLevelType w:val="hybridMultilevel"/>
    <w:tmpl w:val="88F229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4B973E0"/>
    <w:multiLevelType w:val="hybridMultilevel"/>
    <w:tmpl w:val="5AE219E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nsid w:val="5538096F"/>
    <w:multiLevelType w:val="hybridMultilevel"/>
    <w:tmpl w:val="17FA4158"/>
    <w:lvl w:ilvl="0" w:tplc="F9C0D924">
      <w:start w:val="1"/>
      <w:numFmt w:val="bullet"/>
      <w:lvlText w:val="▪"/>
      <w:lvlJc w:val="left"/>
      <w:pPr>
        <w:tabs>
          <w:tab w:val="num" w:pos="567"/>
        </w:tabs>
        <w:ind w:left="567" w:hanging="283"/>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6C890BF5"/>
    <w:multiLevelType w:val="hybridMultilevel"/>
    <w:tmpl w:val="847283F6"/>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6"/>
  </w:num>
  <w:num w:numId="4">
    <w:abstractNumId w:val="9"/>
  </w:num>
  <w:num w:numId="5">
    <w:abstractNumId w:val="0"/>
  </w:num>
  <w:num w:numId="6">
    <w:abstractNumId w:val="5"/>
  </w:num>
  <w:num w:numId="7">
    <w:abstractNumId w:val="12"/>
  </w:num>
  <w:num w:numId="8">
    <w:abstractNumId w:val="4"/>
  </w:num>
  <w:num w:numId="9">
    <w:abstractNumId w:val="2"/>
  </w:num>
  <w:num w:numId="10">
    <w:abstractNumId w:val="13"/>
  </w:num>
  <w:num w:numId="11">
    <w:abstractNumId w:val="11"/>
  </w:num>
  <w:num w:numId="12">
    <w:abstractNumId w:val="7"/>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numStart w:val="2"/>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27D"/>
    <w:rsid w:val="002B432A"/>
    <w:rsid w:val="005C0F43"/>
    <w:rsid w:val="00781255"/>
    <w:rsid w:val="007E5169"/>
    <w:rsid w:val="008F727D"/>
    <w:rsid w:val="00B71142"/>
    <w:rsid w:val="00EC35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E8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pPr>
      <w:keepNext/>
      <w:jc w:val="center"/>
      <w:outlineLvl w:val="0"/>
    </w:pPr>
    <w:rPr>
      <w:rFonts w:ascii="Garamond" w:hAnsi="Garamond"/>
      <w:b/>
      <w:sz w:val="24"/>
    </w:rPr>
  </w:style>
  <w:style w:type="paragraph" w:styleId="Titolo2">
    <w:name w:val="heading 2"/>
    <w:basedOn w:val="Normale"/>
    <w:next w:val="Normale"/>
    <w:qFormat/>
    <w:pPr>
      <w:keepNext/>
      <w:jc w:val="right"/>
      <w:outlineLvl w:val="1"/>
    </w:pPr>
    <w:rPr>
      <w:rFonts w:ascii="Arial" w:hAnsi="Arial"/>
      <w:sz w:val="24"/>
    </w:rPr>
  </w:style>
  <w:style w:type="paragraph" w:styleId="Titolo3">
    <w:name w:val="heading 3"/>
    <w:basedOn w:val="Normale"/>
    <w:next w:val="Normale"/>
    <w:qFormat/>
    <w:pPr>
      <w:keepNext/>
      <w:outlineLvl w:val="2"/>
    </w:pPr>
    <w:rPr>
      <w:rFonts w:ascii="Arial" w:hAnsi="Arial"/>
      <w:sz w:val="24"/>
    </w:rPr>
  </w:style>
  <w:style w:type="paragraph" w:styleId="Titolo4">
    <w:name w:val="heading 4"/>
    <w:basedOn w:val="Normale"/>
    <w:next w:val="Normale"/>
    <w:qFormat/>
    <w:pPr>
      <w:keepNext/>
      <w:jc w:val="center"/>
      <w:outlineLvl w:val="3"/>
    </w:pPr>
    <w:rPr>
      <w:rFonts w:ascii="Garamond" w:hAnsi="Garamond"/>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color w:val="0000FF"/>
      <w:u w:val="single"/>
    </w:rPr>
  </w:style>
  <w:style w:type="paragraph" w:styleId="Corpotesto">
    <w:name w:val="Body Text"/>
    <w:basedOn w:val="Normale"/>
    <w:rPr>
      <w:rFonts w:ascii="Arial" w:hAnsi="Arial"/>
      <w:sz w:val="24"/>
    </w:rPr>
  </w:style>
  <w:style w:type="paragraph" w:styleId="Corpodeltesto2">
    <w:name w:val="Body Text 2"/>
    <w:basedOn w:val="Normale"/>
    <w:pPr>
      <w:jc w:val="both"/>
    </w:pPr>
    <w:rPr>
      <w:rFonts w:ascii="Arial" w:hAnsi="Arial"/>
      <w:sz w:val="24"/>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Testofumetto">
    <w:name w:val="Balloon Text"/>
    <w:basedOn w:val="Normale"/>
    <w:semiHidden/>
    <w:rPr>
      <w:rFonts w:ascii="Tahoma" w:hAnsi="Tahoma" w:cs="Tahoma"/>
      <w:sz w:val="16"/>
      <w:szCs w:val="16"/>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Testonotadichiusura">
    <w:name w:val="endnote text"/>
    <w:basedOn w:val="Normale"/>
    <w:semiHidden/>
  </w:style>
  <w:style w:type="character" w:styleId="Rimandonotadichiusura">
    <w:name w:val="endnote reference"/>
    <w:semiHidden/>
    <w:rPr>
      <w:vertAlign w:val="superscript"/>
    </w:rPr>
  </w:style>
  <w:style w:type="paragraph" w:styleId="Rientrocorpodeltesto">
    <w:name w:val="Body Text Indent"/>
    <w:basedOn w:val="Normale"/>
    <w:pPr>
      <w:spacing w:after="120"/>
      <w:ind w:left="283"/>
    </w:pPr>
  </w:style>
  <w:style w:type="paragraph" w:styleId="Testodelblocco">
    <w:name w:val="Block Text"/>
    <w:basedOn w:val="Normale"/>
    <w:pPr>
      <w:spacing w:line="480" w:lineRule="auto"/>
      <w:ind w:left="851" w:right="851" w:firstLine="709"/>
      <w:jc w:val="both"/>
    </w:pPr>
    <w:rPr>
      <w:sz w:val="24"/>
      <w:szCs w:val="24"/>
    </w:rPr>
  </w:style>
  <w:style w:type="character" w:styleId="Enfasicorsivo">
    <w:name w:val="Emphasis"/>
    <w:qFormat/>
    <w:rPr>
      <w:i/>
      <w:iCs/>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qFormat/>
    <w:rPr>
      <w:b/>
      <w:bCs/>
    </w:rPr>
  </w:style>
  <w:style w:type="paragraph" w:styleId="Paragrafoelenco">
    <w:name w:val="List Paragraph"/>
    <w:basedOn w:val="Normale"/>
    <w:uiPriority w:val="34"/>
    <w:qFormat/>
    <w:pPr>
      <w:ind w:left="708"/>
    </w:pPr>
  </w:style>
  <w:style w:type="character" w:customStyle="1" w:styleId="PidipaginaCarattere">
    <w:name w:val="Piè di pagina Carattere"/>
    <w:basedOn w:val="Carpredefinitoparagrafo"/>
    <w:link w:val="Pidipagina"/>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pPr>
      <w:keepNext/>
      <w:jc w:val="center"/>
      <w:outlineLvl w:val="0"/>
    </w:pPr>
    <w:rPr>
      <w:rFonts w:ascii="Garamond" w:hAnsi="Garamond"/>
      <w:b/>
      <w:sz w:val="24"/>
    </w:rPr>
  </w:style>
  <w:style w:type="paragraph" w:styleId="Titolo2">
    <w:name w:val="heading 2"/>
    <w:basedOn w:val="Normale"/>
    <w:next w:val="Normale"/>
    <w:qFormat/>
    <w:pPr>
      <w:keepNext/>
      <w:jc w:val="right"/>
      <w:outlineLvl w:val="1"/>
    </w:pPr>
    <w:rPr>
      <w:rFonts w:ascii="Arial" w:hAnsi="Arial"/>
      <w:sz w:val="24"/>
    </w:rPr>
  </w:style>
  <w:style w:type="paragraph" w:styleId="Titolo3">
    <w:name w:val="heading 3"/>
    <w:basedOn w:val="Normale"/>
    <w:next w:val="Normale"/>
    <w:qFormat/>
    <w:pPr>
      <w:keepNext/>
      <w:outlineLvl w:val="2"/>
    </w:pPr>
    <w:rPr>
      <w:rFonts w:ascii="Arial" w:hAnsi="Arial"/>
      <w:sz w:val="24"/>
    </w:rPr>
  </w:style>
  <w:style w:type="paragraph" w:styleId="Titolo4">
    <w:name w:val="heading 4"/>
    <w:basedOn w:val="Normale"/>
    <w:next w:val="Normale"/>
    <w:qFormat/>
    <w:pPr>
      <w:keepNext/>
      <w:jc w:val="center"/>
      <w:outlineLvl w:val="3"/>
    </w:pPr>
    <w:rPr>
      <w:rFonts w:ascii="Garamond" w:hAnsi="Garamond"/>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color w:val="0000FF"/>
      <w:u w:val="single"/>
    </w:rPr>
  </w:style>
  <w:style w:type="paragraph" w:styleId="Corpotesto">
    <w:name w:val="Body Text"/>
    <w:basedOn w:val="Normale"/>
    <w:rPr>
      <w:rFonts w:ascii="Arial" w:hAnsi="Arial"/>
      <w:sz w:val="24"/>
    </w:rPr>
  </w:style>
  <w:style w:type="paragraph" w:styleId="Corpodeltesto2">
    <w:name w:val="Body Text 2"/>
    <w:basedOn w:val="Normale"/>
    <w:pPr>
      <w:jc w:val="both"/>
    </w:pPr>
    <w:rPr>
      <w:rFonts w:ascii="Arial" w:hAnsi="Arial"/>
      <w:sz w:val="24"/>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Testofumetto">
    <w:name w:val="Balloon Text"/>
    <w:basedOn w:val="Normale"/>
    <w:semiHidden/>
    <w:rPr>
      <w:rFonts w:ascii="Tahoma" w:hAnsi="Tahoma" w:cs="Tahoma"/>
      <w:sz w:val="16"/>
      <w:szCs w:val="16"/>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Testonotadichiusura">
    <w:name w:val="endnote text"/>
    <w:basedOn w:val="Normale"/>
    <w:semiHidden/>
  </w:style>
  <w:style w:type="character" w:styleId="Rimandonotadichiusura">
    <w:name w:val="endnote reference"/>
    <w:semiHidden/>
    <w:rPr>
      <w:vertAlign w:val="superscript"/>
    </w:rPr>
  </w:style>
  <w:style w:type="paragraph" w:styleId="Rientrocorpodeltesto">
    <w:name w:val="Body Text Indent"/>
    <w:basedOn w:val="Normale"/>
    <w:pPr>
      <w:spacing w:after="120"/>
      <w:ind w:left="283"/>
    </w:pPr>
  </w:style>
  <w:style w:type="paragraph" w:styleId="Testodelblocco">
    <w:name w:val="Block Text"/>
    <w:basedOn w:val="Normale"/>
    <w:pPr>
      <w:spacing w:line="480" w:lineRule="auto"/>
      <w:ind w:left="851" w:right="851" w:firstLine="709"/>
      <w:jc w:val="both"/>
    </w:pPr>
    <w:rPr>
      <w:sz w:val="24"/>
      <w:szCs w:val="24"/>
    </w:rPr>
  </w:style>
  <w:style w:type="character" w:styleId="Enfasicorsivo">
    <w:name w:val="Emphasis"/>
    <w:qFormat/>
    <w:rPr>
      <w:i/>
      <w:iCs/>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qFormat/>
    <w:rPr>
      <w:b/>
      <w:bCs/>
    </w:rPr>
  </w:style>
  <w:style w:type="paragraph" w:styleId="Paragrafoelenco">
    <w:name w:val="List Paragraph"/>
    <w:basedOn w:val="Normale"/>
    <w:uiPriority w:val="34"/>
    <w:qFormat/>
    <w:pPr>
      <w:ind w:left="708"/>
    </w:pPr>
  </w:style>
  <w:style w:type="character" w:customStyle="1" w:styleId="PidipaginaCarattere">
    <w:name w:val="Piè di pagina Carattere"/>
    <w:basedOn w:val="Carpredefinitoparagrafo"/>
    <w:link w:val="Pidipagina"/>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0376">
      <w:bodyDiv w:val="1"/>
      <w:marLeft w:val="0"/>
      <w:marRight w:val="0"/>
      <w:marTop w:val="0"/>
      <w:marBottom w:val="0"/>
      <w:divBdr>
        <w:top w:val="none" w:sz="0" w:space="0" w:color="auto"/>
        <w:left w:val="none" w:sz="0" w:space="0" w:color="auto"/>
        <w:bottom w:val="none" w:sz="0" w:space="0" w:color="auto"/>
        <w:right w:val="none" w:sz="0" w:space="0" w:color="auto"/>
      </w:divBdr>
    </w:div>
    <w:div w:id="47462179">
      <w:bodyDiv w:val="1"/>
      <w:marLeft w:val="0"/>
      <w:marRight w:val="0"/>
      <w:marTop w:val="0"/>
      <w:marBottom w:val="0"/>
      <w:divBdr>
        <w:top w:val="none" w:sz="0" w:space="0" w:color="auto"/>
        <w:left w:val="none" w:sz="0" w:space="0" w:color="auto"/>
        <w:bottom w:val="none" w:sz="0" w:space="0" w:color="auto"/>
        <w:right w:val="none" w:sz="0" w:space="0" w:color="auto"/>
      </w:divBdr>
    </w:div>
    <w:div w:id="161166725">
      <w:bodyDiv w:val="1"/>
      <w:marLeft w:val="0"/>
      <w:marRight w:val="0"/>
      <w:marTop w:val="0"/>
      <w:marBottom w:val="0"/>
      <w:divBdr>
        <w:top w:val="none" w:sz="0" w:space="0" w:color="auto"/>
        <w:left w:val="none" w:sz="0" w:space="0" w:color="auto"/>
        <w:bottom w:val="none" w:sz="0" w:space="0" w:color="auto"/>
        <w:right w:val="none" w:sz="0" w:space="0" w:color="auto"/>
      </w:divBdr>
    </w:div>
    <w:div w:id="201678897">
      <w:bodyDiv w:val="1"/>
      <w:marLeft w:val="0"/>
      <w:marRight w:val="0"/>
      <w:marTop w:val="0"/>
      <w:marBottom w:val="0"/>
      <w:divBdr>
        <w:top w:val="none" w:sz="0" w:space="0" w:color="auto"/>
        <w:left w:val="none" w:sz="0" w:space="0" w:color="auto"/>
        <w:bottom w:val="none" w:sz="0" w:space="0" w:color="auto"/>
        <w:right w:val="none" w:sz="0" w:space="0" w:color="auto"/>
      </w:divBdr>
    </w:div>
    <w:div w:id="203905380">
      <w:bodyDiv w:val="1"/>
      <w:marLeft w:val="0"/>
      <w:marRight w:val="0"/>
      <w:marTop w:val="0"/>
      <w:marBottom w:val="0"/>
      <w:divBdr>
        <w:top w:val="none" w:sz="0" w:space="0" w:color="auto"/>
        <w:left w:val="none" w:sz="0" w:space="0" w:color="auto"/>
        <w:bottom w:val="none" w:sz="0" w:space="0" w:color="auto"/>
        <w:right w:val="none" w:sz="0" w:space="0" w:color="auto"/>
      </w:divBdr>
    </w:div>
    <w:div w:id="282540678">
      <w:bodyDiv w:val="1"/>
      <w:marLeft w:val="0"/>
      <w:marRight w:val="0"/>
      <w:marTop w:val="0"/>
      <w:marBottom w:val="0"/>
      <w:divBdr>
        <w:top w:val="none" w:sz="0" w:space="0" w:color="auto"/>
        <w:left w:val="none" w:sz="0" w:space="0" w:color="auto"/>
        <w:bottom w:val="none" w:sz="0" w:space="0" w:color="auto"/>
        <w:right w:val="none" w:sz="0" w:space="0" w:color="auto"/>
      </w:divBdr>
    </w:div>
    <w:div w:id="318772147">
      <w:bodyDiv w:val="1"/>
      <w:marLeft w:val="0"/>
      <w:marRight w:val="0"/>
      <w:marTop w:val="0"/>
      <w:marBottom w:val="0"/>
      <w:divBdr>
        <w:top w:val="none" w:sz="0" w:space="0" w:color="auto"/>
        <w:left w:val="none" w:sz="0" w:space="0" w:color="auto"/>
        <w:bottom w:val="none" w:sz="0" w:space="0" w:color="auto"/>
        <w:right w:val="none" w:sz="0" w:space="0" w:color="auto"/>
      </w:divBdr>
    </w:div>
    <w:div w:id="394427519">
      <w:bodyDiv w:val="1"/>
      <w:marLeft w:val="0"/>
      <w:marRight w:val="0"/>
      <w:marTop w:val="0"/>
      <w:marBottom w:val="0"/>
      <w:divBdr>
        <w:top w:val="none" w:sz="0" w:space="0" w:color="auto"/>
        <w:left w:val="none" w:sz="0" w:space="0" w:color="auto"/>
        <w:bottom w:val="none" w:sz="0" w:space="0" w:color="auto"/>
        <w:right w:val="none" w:sz="0" w:space="0" w:color="auto"/>
      </w:divBdr>
    </w:div>
    <w:div w:id="415053066">
      <w:bodyDiv w:val="1"/>
      <w:marLeft w:val="0"/>
      <w:marRight w:val="0"/>
      <w:marTop w:val="0"/>
      <w:marBottom w:val="0"/>
      <w:divBdr>
        <w:top w:val="none" w:sz="0" w:space="0" w:color="auto"/>
        <w:left w:val="none" w:sz="0" w:space="0" w:color="auto"/>
        <w:bottom w:val="none" w:sz="0" w:space="0" w:color="auto"/>
        <w:right w:val="none" w:sz="0" w:space="0" w:color="auto"/>
      </w:divBdr>
    </w:div>
    <w:div w:id="445269538">
      <w:bodyDiv w:val="1"/>
      <w:marLeft w:val="0"/>
      <w:marRight w:val="0"/>
      <w:marTop w:val="0"/>
      <w:marBottom w:val="0"/>
      <w:divBdr>
        <w:top w:val="none" w:sz="0" w:space="0" w:color="auto"/>
        <w:left w:val="none" w:sz="0" w:space="0" w:color="auto"/>
        <w:bottom w:val="none" w:sz="0" w:space="0" w:color="auto"/>
        <w:right w:val="none" w:sz="0" w:space="0" w:color="auto"/>
      </w:divBdr>
    </w:div>
    <w:div w:id="511341809">
      <w:bodyDiv w:val="1"/>
      <w:marLeft w:val="0"/>
      <w:marRight w:val="0"/>
      <w:marTop w:val="0"/>
      <w:marBottom w:val="0"/>
      <w:divBdr>
        <w:top w:val="none" w:sz="0" w:space="0" w:color="auto"/>
        <w:left w:val="none" w:sz="0" w:space="0" w:color="auto"/>
        <w:bottom w:val="none" w:sz="0" w:space="0" w:color="auto"/>
        <w:right w:val="none" w:sz="0" w:space="0" w:color="auto"/>
      </w:divBdr>
    </w:div>
    <w:div w:id="518349020">
      <w:bodyDiv w:val="1"/>
      <w:marLeft w:val="0"/>
      <w:marRight w:val="0"/>
      <w:marTop w:val="0"/>
      <w:marBottom w:val="0"/>
      <w:divBdr>
        <w:top w:val="none" w:sz="0" w:space="0" w:color="auto"/>
        <w:left w:val="none" w:sz="0" w:space="0" w:color="auto"/>
        <w:bottom w:val="none" w:sz="0" w:space="0" w:color="auto"/>
        <w:right w:val="none" w:sz="0" w:space="0" w:color="auto"/>
      </w:divBdr>
    </w:div>
    <w:div w:id="535775580">
      <w:bodyDiv w:val="1"/>
      <w:marLeft w:val="0"/>
      <w:marRight w:val="0"/>
      <w:marTop w:val="0"/>
      <w:marBottom w:val="0"/>
      <w:divBdr>
        <w:top w:val="none" w:sz="0" w:space="0" w:color="auto"/>
        <w:left w:val="none" w:sz="0" w:space="0" w:color="auto"/>
        <w:bottom w:val="none" w:sz="0" w:space="0" w:color="auto"/>
        <w:right w:val="none" w:sz="0" w:space="0" w:color="auto"/>
      </w:divBdr>
      <w:divsChild>
        <w:div w:id="16659507">
          <w:marLeft w:val="0"/>
          <w:marRight w:val="0"/>
          <w:marTop w:val="0"/>
          <w:marBottom w:val="0"/>
          <w:divBdr>
            <w:top w:val="none" w:sz="0" w:space="0" w:color="auto"/>
            <w:left w:val="none" w:sz="0" w:space="0" w:color="auto"/>
            <w:bottom w:val="none" w:sz="0" w:space="0" w:color="auto"/>
            <w:right w:val="none" w:sz="0" w:space="0" w:color="auto"/>
          </w:divBdr>
          <w:divsChild>
            <w:div w:id="475609636">
              <w:marLeft w:val="0"/>
              <w:marRight w:val="0"/>
              <w:marTop w:val="0"/>
              <w:marBottom w:val="0"/>
              <w:divBdr>
                <w:top w:val="none" w:sz="0" w:space="0" w:color="auto"/>
                <w:left w:val="none" w:sz="0" w:space="0" w:color="auto"/>
                <w:bottom w:val="none" w:sz="0" w:space="0" w:color="auto"/>
                <w:right w:val="none" w:sz="0" w:space="0" w:color="auto"/>
              </w:divBdr>
            </w:div>
            <w:div w:id="1171019572">
              <w:marLeft w:val="0"/>
              <w:marRight w:val="0"/>
              <w:marTop w:val="0"/>
              <w:marBottom w:val="0"/>
              <w:divBdr>
                <w:top w:val="none" w:sz="0" w:space="0" w:color="auto"/>
                <w:left w:val="none" w:sz="0" w:space="0" w:color="auto"/>
                <w:bottom w:val="none" w:sz="0" w:space="0" w:color="auto"/>
                <w:right w:val="none" w:sz="0" w:space="0" w:color="auto"/>
              </w:divBdr>
              <w:divsChild>
                <w:div w:id="329334175">
                  <w:marLeft w:val="0"/>
                  <w:marRight w:val="0"/>
                  <w:marTop w:val="0"/>
                  <w:marBottom w:val="0"/>
                  <w:divBdr>
                    <w:top w:val="none" w:sz="0" w:space="0" w:color="auto"/>
                    <w:left w:val="none" w:sz="0" w:space="0" w:color="auto"/>
                    <w:bottom w:val="none" w:sz="0" w:space="0" w:color="auto"/>
                    <w:right w:val="none" w:sz="0" w:space="0" w:color="auto"/>
                  </w:divBdr>
                </w:div>
                <w:div w:id="681904460">
                  <w:marLeft w:val="0"/>
                  <w:marRight w:val="0"/>
                  <w:marTop w:val="0"/>
                  <w:marBottom w:val="0"/>
                  <w:divBdr>
                    <w:top w:val="none" w:sz="0" w:space="0" w:color="auto"/>
                    <w:left w:val="none" w:sz="0" w:space="0" w:color="auto"/>
                    <w:bottom w:val="none" w:sz="0" w:space="0" w:color="auto"/>
                    <w:right w:val="none" w:sz="0" w:space="0" w:color="auto"/>
                  </w:divBdr>
                </w:div>
              </w:divsChild>
            </w:div>
            <w:div w:id="2077435530">
              <w:marLeft w:val="0"/>
              <w:marRight w:val="0"/>
              <w:marTop w:val="0"/>
              <w:marBottom w:val="0"/>
              <w:divBdr>
                <w:top w:val="none" w:sz="0" w:space="0" w:color="auto"/>
                <w:left w:val="none" w:sz="0" w:space="0" w:color="auto"/>
                <w:bottom w:val="none" w:sz="0" w:space="0" w:color="auto"/>
                <w:right w:val="none" w:sz="0" w:space="0" w:color="auto"/>
              </w:divBdr>
            </w:div>
          </w:divsChild>
        </w:div>
        <w:div w:id="1886480679">
          <w:marLeft w:val="0"/>
          <w:marRight w:val="0"/>
          <w:marTop w:val="0"/>
          <w:marBottom w:val="0"/>
          <w:divBdr>
            <w:top w:val="none" w:sz="0" w:space="0" w:color="auto"/>
            <w:left w:val="none" w:sz="0" w:space="0" w:color="auto"/>
            <w:bottom w:val="none" w:sz="0" w:space="0" w:color="auto"/>
            <w:right w:val="none" w:sz="0" w:space="0" w:color="auto"/>
          </w:divBdr>
        </w:div>
      </w:divsChild>
    </w:div>
    <w:div w:id="651836423">
      <w:bodyDiv w:val="1"/>
      <w:marLeft w:val="0"/>
      <w:marRight w:val="0"/>
      <w:marTop w:val="0"/>
      <w:marBottom w:val="0"/>
      <w:divBdr>
        <w:top w:val="none" w:sz="0" w:space="0" w:color="auto"/>
        <w:left w:val="none" w:sz="0" w:space="0" w:color="auto"/>
        <w:bottom w:val="none" w:sz="0" w:space="0" w:color="auto"/>
        <w:right w:val="none" w:sz="0" w:space="0" w:color="auto"/>
      </w:divBdr>
    </w:div>
    <w:div w:id="672682387">
      <w:bodyDiv w:val="1"/>
      <w:marLeft w:val="0"/>
      <w:marRight w:val="0"/>
      <w:marTop w:val="0"/>
      <w:marBottom w:val="0"/>
      <w:divBdr>
        <w:top w:val="none" w:sz="0" w:space="0" w:color="auto"/>
        <w:left w:val="none" w:sz="0" w:space="0" w:color="auto"/>
        <w:bottom w:val="none" w:sz="0" w:space="0" w:color="auto"/>
        <w:right w:val="none" w:sz="0" w:space="0" w:color="auto"/>
      </w:divBdr>
    </w:div>
    <w:div w:id="701831986">
      <w:bodyDiv w:val="1"/>
      <w:marLeft w:val="0"/>
      <w:marRight w:val="0"/>
      <w:marTop w:val="0"/>
      <w:marBottom w:val="0"/>
      <w:divBdr>
        <w:top w:val="none" w:sz="0" w:space="0" w:color="auto"/>
        <w:left w:val="none" w:sz="0" w:space="0" w:color="auto"/>
        <w:bottom w:val="none" w:sz="0" w:space="0" w:color="auto"/>
        <w:right w:val="none" w:sz="0" w:space="0" w:color="auto"/>
      </w:divBdr>
    </w:div>
    <w:div w:id="779380269">
      <w:bodyDiv w:val="1"/>
      <w:marLeft w:val="0"/>
      <w:marRight w:val="0"/>
      <w:marTop w:val="0"/>
      <w:marBottom w:val="0"/>
      <w:divBdr>
        <w:top w:val="none" w:sz="0" w:space="0" w:color="auto"/>
        <w:left w:val="none" w:sz="0" w:space="0" w:color="auto"/>
        <w:bottom w:val="none" w:sz="0" w:space="0" w:color="auto"/>
        <w:right w:val="none" w:sz="0" w:space="0" w:color="auto"/>
      </w:divBdr>
    </w:div>
    <w:div w:id="795293076">
      <w:bodyDiv w:val="1"/>
      <w:marLeft w:val="0"/>
      <w:marRight w:val="0"/>
      <w:marTop w:val="0"/>
      <w:marBottom w:val="0"/>
      <w:divBdr>
        <w:top w:val="none" w:sz="0" w:space="0" w:color="auto"/>
        <w:left w:val="none" w:sz="0" w:space="0" w:color="auto"/>
        <w:bottom w:val="none" w:sz="0" w:space="0" w:color="auto"/>
        <w:right w:val="none" w:sz="0" w:space="0" w:color="auto"/>
      </w:divBdr>
    </w:div>
    <w:div w:id="978069980">
      <w:bodyDiv w:val="1"/>
      <w:marLeft w:val="0"/>
      <w:marRight w:val="0"/>
      <w:marTop w:val="0"/>
      <w:marBottom w:val="0"/>
      <w:divBdr>
        <w:top w:val="none" w:sz="0" w:space="0" w:color="auto"/>
        <w:left w:val="none" w:sz="0" w:space="0" w:color="auto"/>
        <w:bottom w:val="none" w:sz="0" w:space="0" w:color="auto"/>
        <w:right w:val="none" w:sz="0" w:space="0" w:color="auto"/>
      </w:divBdr>
    </w:div>
    <w:div w:id="1017847950">
      <w:bodyDiv w:val="1"/>
      <w:marLeft w:val="0"/>
      <w:marRight w:val="0"/>
      <w:marTop w:val="0"/>
      <w:marBottom w:val="0"/>
      <w:divBdr>
        <w:top w:val="none" w:sz="0" w:space="0" w:color="auto"/>
        <w:left w:val="none" w:sz="0" w:space="0" w:color="auto"/>
        <w:bottom w:val="none" w:sz="0" w:space="0" w:color="auto"/>
        <w:right w:val="none" w:sz="0" w:space="0" w:color="auto"/>
      </w:divBdr>
    </w:div>
    <w:div w:id="1115061751">
      <w:bodyDiv w:val="1"/>
      <w:marLeft w:val="0"/>
      <w:marRight w:val="0"/>
      <w:marTop w:val="0"/>
      <w:marBottom w:val="0"/>
      <w:divBdr>
        <w:top w:val="none" w:sz="0" w:space="0" w:color="auto"/>
        <w:left w:val="none" w:sz="0" w:space="0" w:color="auto"/>
        <w:bottom w:val="none" w:sz="0" w:space="0" w:color="auto"/>
        <w:right w:val="none" w:sz="0" w:space="0" w:color="auto"/>
      </w:divBdr>
    </w:div>
    <w:div w:id="1136295358">
      <w:bodyDiv w:val="1"/>
      <w:marLeft w:val="0"/>
      <w:marRight w:val="0"/>
      <w:marTop w:val="0"/>
      <w:marBottom w:val="0"/>
      <w:divBdr>
        <w:top w:val="none" w:sz="0" w:space="0" w:color="auto"/>
        <w:left w:val="none" w:sz="0" w:space="0" w:color="auto"/>
        <w:bottom w:val="none" w:sz="0" w:space="0" w:color="auto"/>
        <w:right w:val="none" w:sz="0" w:space="0" w:color="auto"/>
      </w:divBdr>
    </w:div>
    <w:div w:id="1217737588">
      <w:bodyDiv w:val="1"/>
      <w:marLeft w:val="0"/>
      <w:marRight w:val="0"/>
      <w:marTop w:val="0"/>
      <w:marBottom w:val="0"/>
      <w:divBdr>
        <w:top w:val="none" w:sz="0" w:space="0" w:color="auto"/>
        <w:left w:val="none" w:sz="0" w:space="0" w:color="auto"/>
        <w:bottom w:val="none" w:sz="0" w:space="0" w:color="auto"/>
        <w:right w:val="none" w:sz="0" w:space="0" w:color="auto"/>
      </w:divBdr>
    </w:div>
    <w:div w:id="1247422655">
      <w:bodyDiv w:val="1"/>
      <w:marLeft w:val="0"/>
      <w:marRight w:val="0"/>
      <w:marTop w:val="0"/>
      <w:marBottom w:val="0"/>
      <w:divBdr>
        <w:top w:val="none" w:sz="0" w:space="0" w:color="auto"/>
        <w:left w:val="none" w:sz="0" w:space="0" w:color="auto"/>
        <w:bottom w:val="none" w:sz="0" w:space="0" w:color="auto"/>
        <w:right w:val="none" w:sz="0" w:space="0" w:color="auto"/>
      </w:divBdr>
    </w:div>
    <w:div w:id="1340694792">
      <w:bodyDiv w:val="1"/>
      <w:marLeft w:val="0"/>
      <w:marRight w:val="0"/>
      <w:marTop w:val="0"/>
      <w:marBottom w:val="0"/>
      <w:divBdr>
        <w:top w:val="none" w:sz="0" w:space="0" w:color="auto"/>
        <w:left w:val="none" w:sz="0" w:space="0" w:color="auto"/>
        <w:bottom w:val="none" w:sz="0" w:space="0" w:color="auto"/>
        <w:right w:val="none" w:sz="0" w:space="0" w:color="auto"/>
      </w:divBdr>
    </w:div>
    <w:div w:id="1412697538">
      <w:bodyDiv w:val="1"/>
      <w:marLeft w:val="0"/>
      <w:marRight w:val="0"/>
      <w:marTop w:val="0"/>
      <w:marBottom w:val="0"/>
      <w:divBdr>
        <w:top w:val="none" w:sz="0" w:space="0" w:color="auto"/>
        <w:left w:val="none" w:sz="0" w:space="0" w:color="auto"/>
        <w:bottom w:val="none" w:sz="0" w:space="0" w:color="auto"/>
        <w:right w:val="none" w:sz="0" w:space="0" w:color="auto"/>
      </w:divBdr>
    </w:div>
    <w:div w:id="1441337522">
      <w:bodyDiv w:val="1"/>
      <w:marLeft w:val="0"/>
      <w:marRight w:val="0"/>
      <w:marTop w:val="0"/>
      <w:marBottom w:val="0"/>
      <w:divBdr>
        <w:top w:val="none" w:sz="0" w:space="0" w:color="auto"/>
        <w:left w:val="none" w:sz="0" w:space="0" w:color="auto"/>
        <w:bottom w:val="none" w:sz="0" w:space="0" w:color="auto"/>
        <w:right w:val="none" w:sz="0" w:space="0" w:color="auto"/>
      </w:divBdr>
    </w:div>
    <w:div w:id="1445733140">
      <w:bodyDiv w:val="1"/>
      <w:marLeft w:val="0"/>
      <w:marRight w:val="0"/>
      <w:marTop w:val="0"/>
      <w:marBottom w:val="0"/>
      <w:divBdr>
        <w:top w:val="none" w:sz="0" w:space="0" w:color="auto"/>
        <w:left w:val="none" w:sz="0" w:space="0" w:color="auto"/>
        <w:bottom w:val="none" w:sz="0" w:space="0" w:color="auto"/>
        <w:right w:val="none" w:sz="0" w:space="0" w:color="auto"/>
      </w:divBdr>
    </w:div>
    <w:div w:id="1462923148">
      <w:bodyDiv w:val="1"/>
      <w:marLeft w:val="0"/>
      <w:marRight w:val="0"/>
      <w:marTop w:val="0"/>
      <w:marBottom w:val="0"/>
      <w:divBdr>
        <w:top w:val="none" w:sz="0" w:space="0" w:color="auto"/>
        <w:left w:val="none" w:sz="0" w:space="0" w:color="auto"/>
        <w:bottom w:val="none" w:sz="0" w:space="0" w:color="auto"/>
        <w:right w:val="none" w:sz="0" w:space="0" w:color="auto"/>
      </w:divBdr>
    </w:div>
    <w:div w:id="1518235455">
      <w:bodyDiv w:val="1"/>
      <w:marLeft w:val="0"/>
      <w:marRight w:val="0"/>
      <w:marTop w:val="0"/>
      <w:marBottom w:val="0"/>
      <w:divBdr>
        <w:top w:val="none" w:sz="0" w:space="0" w:color="auto"/>
        <w:left w:val="none" w:sz="0" w:space="0" w:color="auto"/>
        <w:bottom w:val="none" w:sz="0" w:space="0" w:color="auto"/>
        <w:right w:val="none" w:sz="0" w:space="0" w:color="auto"/>
      </w:divBdr>
    </w:div>
    <w:div w:id="1551528538">
      <w:bodyDiv w:val="1"/>
      <w:marLeft w:val="0"/>
      <w:marRight w:val="0"/>
      <w:marTop w:val="0"/>
      <w:marBottom w:val="0"/>
      <w:divBdr>
        <w:top w:val="none" w:sz="0" w:space="0" w:color="auto"/>
        <w:left w:val="none" w:sz="0" w:space="0" w:color="auto"/>
        <w:bottom w:val="none" w:sz="0" w:space="0" w:color="auto"/>
        <w:right w:val="none" w:sz="0" w:space="0" w:color="auto"/>
      </w:divBdr>
    </w:div>
    <w:div w:id="1572543290">
      <w:bodyDiv w:val="1"/>
      <w:marLeft w:val="0"/>
      <w:marRight w:val="0"/>
      <w:marTop w:val="0"/>
      <w:marBottom w:val="0"/>
      <w:divBdr>
        <w:top w:val="none" w:sz="0" w:space="0" w:color="auto"/>
        <w:left w:val="none" w:sz="0" w:space="0" w:color="auto"/>
        <w:bottom w:val="none" w:sz="0" w:space="0" w:color="auto"/>
        <w:right w:val="none" w:sz="0" w:space="0" w:color="auto"/>
      </w:divBdr>
    </w:div>
    <w:div w:id="1630162895">
      <w:bodyDiv w:val="1"/>
      <w:marLeft w:val="0"/>
      <w:marRight w:val="0"/>
      <w:marTop w:val="0"/>
      <w:marBottom w:val="0"/>
      <w:divBdr>
        <w:top w:val="none" w:sz="0" w:space="0" w:color="auto"/>
        <w:left w:val="none" w:sz="0" w:space="0" w:color="auto"/>
        <w:bottom w:val="none" w:sz="0" w:space="0" w:color="auto"/>
        <w:right w:val="none" w:sz="0" w:space="0" w:color="auto"/>
      </w:divBdr>
    </w:div>
    <w:div w:id="1665236585">
      <w:bodyDiv w:val="1"/>
      <w:marLeft w:val="0"/>
      <w:marRight w:val="0"/>
      <w:marTop w:val="0"/>
      <w:marBottom w:val="0"/>
      <w:divBdr>
        <w:top w:val="none" w:sz="0" w:space="0" w:color="auto"/>
        <w:left w:val="none" w:sz="0" w:space="0" w:color="auto"/>
        <w:bottom w:val="none" w:sz="0" w:space="0" w:color="auto"/>
        <w:right w:val="none" w:sz="0" w:space="0" w:color="auto"/>
      </w:divBdr>
    </w:div>
    <w:div w:id="1665550793">
      <w:bodyDiv w:val="1"/>
      <w:marLeft w:val="0"/>
      <w:marRight w:val="0"/>
      <w:marTop w:val="0"/>
      <w:marBottom w:val="0"/>
      <w:divBdr>
        <w:top w:val="none" w:sz="0" w:space="0" w:color="auto"/>
        <w:left w:val="none" w:sz="0" w:space="0" w:color="auto"/>
        <w:bottom w:val="none" w:sz="0" w:space="0" w:color="auto"/>
        <w:right w:val="none" w:sz="0" w:space="0" w:color="auto"/>
      </w:divBdr>
    </w:div>
    <w:div w:id="1668049245">
      <w:bodyDiv w:val="1"/>
      <w:marLeft w:val="0"/>
      <w:marRight w:val="0"/>
      <w:marTop w:val="0"/>
      <w:marBottom w:val="0"/>
      <w:divBdr>
        <w:top w:val="none" w:sz="0" w:space="0" w:color="auto"/>
        <w:left w:val="none" w:sz="0" w:space="0" w:color="auto"/>
        <w:bottom w:val="none" w:sz="0" w:space="0" w:color="auto"/>
        <w:right w:val="none" w:sz="0" w:space="0" w:color="auto"/>
      </w:divBdr>
    </w:div>
    <w:div w:id="1722359963">
      <w:bodyDiv w:val="1"/>
      <w:marLeft w:val="0"/>
      <w:marRight w:val="0"/>
      <w:marTop w:val="0"/>
      <w:marBottom w:val="0"/>
      <w:divBdr>
        <w:top w:val="none" w:sz="0" w:space="0" w:color="auto"/>
        <w:left w:val="none" w:sz="0" w:space="0" w:color="auto"/>
        <w:bottom w:val="none" w:sz="0" w:space="0" w:color="auto"/>
        <w:right w:val="none" w:sz="0" w:space="0" w:color="auto"/>
      </w:divBdr>
    </w:div>
    <w:div w:id="1927881785">
      <w:bodyDiv w:val="1"/>
      <w:marLeft w:val="0"/>
      <w:marRight w:val="0"/>
      <w:marTop w:val="0"/>
      <w:marBottom w:val="0"/>
      <w:divBdr>
        <w:top w:val="none" w:sz="0" w:space="0" w:color="auto"/>
        <w:left w:val="none" w:sz="0" w:space="0" w:color="auto"/>
        <w:bottom w:val="none" w:sz="0" w:space="0" w:color="auto"/>
        <w:right w:val="none" w:sz="0" w:space="0" w:color="auto"/>
      </w:divBdr>
    </w:div>
    <w:div w:id="1936549636">
      <w:bodyDiv w:val="1"/>
      <w:marLeft w:val="0"/>
      <w:marRight w:val="0"/>
      <w:marTop w:val="0"/>
      <w:marBottom w:val="0"/>
      <w:divBdr>
        <w:top w:val="none" w:sz="0" w:space="0" w:color="auto"/>
        <w:left w:val="none" w:sz="0" w:space="0" w:color="auto"/>
        <w:bottom w:val="none" w:sz="0" w:space="0" w:color="auto"/>
        <w:right w:val="none" w:sz="0" w:space="0" w:color="auto"/>
      </w:divBdr>
    </w:div>
    <w:div w:id="2039699589">
      <w:bodyDiv w:val="1"/>
      <w:marLeft w:val="0"/>
      <w:marRight w:val="0"/>
      <w:marTop w:val="0"/>
      <w:marBottom w:val="0"/>
      <w:divBdr>
        <w:top w:val="none" w:sz="0" w:space="0" w:color="auto"/>
        <w:left w:val="none" w:sz="0" w:space="0" w:color="auto"/>
        <w:bottom w:val="none" w:sz="0" w:space="0" w:color="auto"/>
        <w:right w:val="none" w:sz="0" w:space="0" w:color="auto"/>
      </w:divBdr>
    </w:div>
    <w:div w:id="2056392240">
      <w:bodyDiv w:val="1"/>
      <w:marLeft w:val="0"/>
      <w:marRight w:val="0"/>
      <w:marTop w:val="0"/>
      <w:marBottom w:val="0"/>
      <w:divBdr>
        <w:top w:val="none" w:sz="0" w:space="0" w:color="auto"/>
        <w:left w:val="none" w:sz="0" w:space="0" w:color="auto"/>
        <w:bottom w:val="none" w:sz="0" w:space="0" w:color="auto"/>
        <w:right w:val="none" w:sz="0" w:space="0" w:color="auto"/>
      </w:divBdr>
    </w:div>
    <w:div w:id="2080902370">
      <w:bodyDiv w:val="1"/>
      <w:marLeft w:val="0"/>
      <w:marRight w:val="0"/>
      <w:marTop w:val="0"/>
      <w:marBottom w:val="0"/>
      <w:divBdr>
        <w:top w:val="none" w:sz="0" w:space="0" w:color="auto"/>
        <w:left w:val="none" w:sz="0" w:space="0" w:color="auto"/>
        <w:bottom w:val="none" w:sz="0" w:space="0" w:color="auto"/>
        <w:right w:val="none" w:sz="0" w:space="0" w:color="auto"/>
      </w:divBdr>
    </w:div>
    <w:div w:id="2137723476">
      <w:bodyDiv w:val="1"/>
      <w:marLeft w:val="0"/>
      <w:marRight w:val="0"/>
      <w:marTop w:val="0"/>
      <w:marBottom w:val="0"/>
      <w:divBdr>
        <w:top w:val="none" w:sz="0" w:space="0" w:color="auto"/>
        <w:left w:val="none" w:sz="0" w:space="0" w:color="auto"/>
        <w:bottom w:val="none" w:sz="0" w:space="0" w:color="auto"/>
        <w:right w:val="none" w:sz="0" w:space="0" w:color="auto"/>
      </w:divBdr>
    </w:div>
    <w:div w:id="214238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63854-8337-4DDE-B501-2256972D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1682</Words>
  <Characters>10481</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lpstr>
    </vt:vector>
  </TitlesOfParts>
  <Company>Provincia di Mantova</Company>
  <LinksUpToDate>false</LinksUpToDate>
  <CharactersWithSpaces>12139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Provincia di Mantova</dc:creator>
  <cp:lastModifiedBy>Isabella Lorini</cp:lastModifiedBy>
  <cp:revision>2</cp:revision>
  <cp:lastPrinted>2023-04-12T09:20:00Z</cp:lastPrinted>
  <dcterms:created xsi:type="dcterms:W3CDTF">2023-05-10T08:27:00Z</dcterms:created>
  <dcterms:modified xsi:type="dcterms:W3CDTF">2023-05-10T08:27:00Z</dcterms:modified>
</cp:coreProperties>
</file>